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7AD" w:rsidRDefault="005D57AD" w:rsidP="005D57AD">
      <w:pPr>
        <w:spacing w:after="0" w:line="240" w:lineRule="auto"/>
        <w:jc w:val="center"/>
        <w:rPr>
          <w:rFonts w:ascii="Segoe UI" w:eastAsia="Times New Roman" w:hAnsi="Segoe UI" w:cs="Segoe UI"/>
          <w:b/>
          <w:bCs/>
          <w:color w:val="0000FF"/>
          <w:sz w:val="28"/>
          <w:szCs w:val="28"/>
          <w:lang w:eastAsia="es-CO"/>
        </w:rPr>
      </w:pPr>
    </w:p>
    <w:p w:rsidR="005D57AD" w:rsidRDefault="005D57AD" w:rsidP="005D57AD">
      <w:pPr>
        <w:spacing w:after="0" w:line="240" w:lineRule="auto"/>
        <w:jc w:val="center"/>
        <w:rPr>
          <w:rFonts w:ascii="Segoe UI" w:eastAsia="Times New Roman" w:hAnsi="Segoe UI" w:cs="Segoe UI"/>
          <w:b/>
          <w:bCs/>
          <w:color w:val="0000FF"/>
          <w:sz w:val="28"/>
          <w:szCs w:val="28"/>
          <w:lang w:eastAsia="es-CO"/>
        </w:rPr>
      </w:pPr>
    </w:p>
    <w:p w:rsidR="005D57AD" w:rsidRPr="005D57AD" w:rsidRDefault="005D57AD" w:rsidP="005D57AD">
      <w:pPr>
        <w:spacing w:after="0" w:line="240" w:lineRule="auto"/>
        <w:jc w:val="center"/>
        <w:rPr>
          <w:rFonts w:ascii="Arial" w:eastAsia="Times New Roman" w:hAnsi="Arial" w:cs="Arial"/>
          <w:color w:val="000000"/>
          <w:sz w:val="18"/>
          <w:szCs w:val="18"/>
          <w:lang w:eastAsia="es-CO"/>
        </w:rPr>
      </w:pPr>
      <w:bookmarkStart w:id="0" w:name="_GoBack"/>
      <w:bookmarkEnd w:id="0"/>
      <w:r w:rsidRPr="005D57AD">
        <w:rPr>
          <w:rFonts w:ascii="Segoe UI" w:eastAsia="Times New Roman" w:hAnsi="Segoe UI" w:cs="Segoe UI"/>
          <w:b/>
          <w:bCs/>
          <w:color w:val="0000FF"/>
          <w:sz w:val="28"/>
          <w:szCs w:val="28"/>
          <w:lang w:eastAsia="es-CO"/>
        </w:rPr>
        <w:t>OFICIO Nº 674 [006862]</w:t>
      </w:r>
    </w:p>
    <w:p w:rsidR="005D57AD" w:rsidRPr="005D57AD" w:rsidRDefault="005D57AD" w:rsidP="005D57AD">
      <w:pPr>
        <w:spacing w:after="0" w:line="240" w:lineRule="auto"/>
        <w:jc w:val="center"/>
        <w:rPr>
          <w:rFonts w:ascii="Arial" w:eastAsia="Times New Roman" w:hAnsi="Arial" w:cs="Arial"/>
          <w:color w:val="000000"/>
          <w:sz w:val="18"/>
          <w:szCs w:val="18"/>
          <w:lang w:eastAsia="es-CO"/>
        </w:rPr>
      </w:pPr>
      <w:r w:rsidRPr="005D57AD">
        <w:rPr>
          <w:rFonts w:ascii="Segoe UI" w:eastAsia="Times New Roman" w:hAnsi="Segoe UI" w:cs="Segoe UI"/>
          <w:b/>
          <w:bCs/>
          <w:color w:val="0000FF"/>
          <w:sz w:val="28"/>
          <w:szCs w:val="28"/>
          <w:lang w:eastAsia="es-CO"/>
        </w:rPr>
        <w:t>21-03-2019</w:t>
      </w:r>
    </w:p>
    <w:p w:rsidR="005D57AD" w:rsidRPr="005D57AD" w:rsidRDefault="005D57AD" w:rsidP="005D57AD">
      <w:pPr>
        <w:spacing w:after="0" w:line="240" w:lineRule="auto"/>
        <w:jc w:val="center"/>
        <w:rPr>
          <w:rFonts w:ascii="Arial" w:eastAsia="Times New Roman" w:hAnsi="Arial" w:cs="Arial"/>
          <w:color w:val="000000"/>
          <w:sz w:val="18"/>
          <w:szCs w:val="18"/>
          <w:lang w:eastAsia="es-CO"/>
        </w:rPr>
      </w:pPr>
      <w:r w:rsidRPr="005D57AD">
        <w:rPr>
          <w:rFonts w:ascii="Segoe UI" w:eastAsia="Times New Roman" w:hAnsi="Segoe UI" w:cs="Segoe UI"/>
          <w:b/>
          <w:bCs/>
          <w:color w:val="0000FF"/>
          <w:sz w:val="28"/>
          <w:szCs w:val="28"/>
          <w:lang w:eastAsia="es-CO"/>
        </w:rPr>
        <w:t>DIAN</w:t>
      </w:r>
    </w:p>
    <w:p w:rsidR="005D57AD" w:rsidRPr="005D57AD" w:rsidRDefault="005D57AD" w:rsidP="005D57AD">
      <w:pPr>
        <w:spacing w:after="0" w:line="240" w:lineRule="auto"/>
        <w:jc w:val="both"/>
        <w:rPr>
          <w:rFonts w:ascii="Arial" w:eastAsia="Times New Roman" w:hAnsi="Arial" w:cs="Arial"/>
          <w:color w:val="000000"/>
          <w:sz w:val="18"/>
          <w:szCs w:val="18"/>
          <w:lang w:eastAsia="es-CO"/>
        </w:rPr>
      </w:pPr>
      <w:r w:rsidRPr="005D57AD">
        <w:rPr>
          <w:rFonts w:ascii="Segoe UI" w:eastAsia="Times New Roman" w:hAnsi="Segoe UI" w:cs="Segoe UI"/>
          <w:b/>
          <w:bCs/>
          <w:color w:val="0000FF"/>
          <w:sz w:val="18"/>
          <w:szCs w:val="18"/>
          <w:lang w:eastAsia="es-CO"/>
        </w:rPr>
        <w:t> </w:t>
      </w:r>
    </w:p>
    <w:p w:rsidR="005D57AD" w:rsidRPr="005D57AD" w:rsidRDefault="005D57AD" w:rsidP="005D57AD">
      <w:pPr>
        <w:spacing w:after="0" w:line="240" w:lineRule="auto"/>
        <w:jc w:val="both"/>
        <w:rPr>
          <w:rFonts w:ascii="Arial" w:eastAsia="Times New Roman" w:hAnsi="Arial" w:cs="Arial"/>
          <w:color w:val="000000"/>
          <w:sz w:val="18"/>
          <w:szCs w:val="18"/>
          <w:lang w:eastAsia="es-CO"/>
        </w:rPr>
      </w:pPr>
      <w:r w:rsidRPr="005D57AD">
        <w:rPr>
          <w:rFonts w:ascii="Segoe UI" w:eastAsia="Times New Roman" w:hAnsi="Segoe UI" w:cs="Segoe UI"/>
          <w:b/>
          <w:bCs/>
          <w:color w:val="0000FF"/>
          <w:sz w:val="18"/>
          <w:szCs w:val="18"/>
          <w:lang w:eastAsia="es-CO"/>
        </w:rPr>
        <w:t> </w:t>
      </w:r>
    </w:p>
    <w:p w:rsidR="005D57AD" w:rsidRPr="005D57AD" w:rsidRDefault="005D57AD" w:rsidP="005D57AD">
      <w:pPr>
        <w:spacing w:after="0" w:line="240" w:lineRule="auto"/>
        <w:jc w:val="both"/>
        <w:rPr>
          <w:rFonts w:ascii="Arial" w:eastAsia="Times New Roman" w:hAnsi="Arial" w:cs="Arial"/>
          <w:color w:val="000000"/>
          <w:sz w:val="18"/>
          <w:szCs w:val="18"/>
          <w:lang w:eastAsia="es-CO"/>
        </w:rPr>
      </w:pPr>
      <w:r w:rsidRPr="005D57AD">
        <w:rPr>
          <w:rFonts w:ascii="Segoe UI" w:eastAsia="Times New Roman" w:hAnsi="Segoe UI" w:cs="Segoe UI"/>
          <w:color w:val="000000"/>
          <w:sz w:val="18"/>
          <w:szCs w:val="18"/>
          <w:lang w:eastAsia="es-CO"/>
        </w:rPr>
        <w:t>Subdirección de Gestión Normativa y Doctrina</w:t>
      </w:r>
    </w:p>
    <w:p w:rsidR="005D57AD" w:rsidRPr="005D57AD" w:rsidRDefault="005D57AD" w:rsidP="005D57AD">
      <w:pPr>
        <w:spacing w:after="0" w:line="240" w:lineRule="auto"/>
        <w:jc w:val="both"/>
        <w:rPr>
          <w:rFonts w:ascii="Arial" w:eastAsia="Times New Roman" w:hAnsi="Arial" w:cs="Arial"/>
          <w:color w:val="000000"/>
          <w:sz w:val="18"/>
          <w:szCs w:val="18"/>
          <w:lang w:eastAsia="es-CO"/>
        </w:rPr>
      </w:pPr>
      <w:r w:rsidRPr="005D57AD">
        <w:rPr>
          <w:rFonts w:ascii="Segoe UI" w:eastAsia="Times New Roman" w:hAnsi="Segoe UI" w:cs="Segoe UI"/>
          <w:color w:val="000000"/>
          <w:sz w:val="18"/>
          <w:szCs w:val="18"/>
          <w:lang w:eastAsia="es-CO"/>
        </w:rPr>
        <w:t>100208221 000674</w:t>
      </w:r>
    </w:p>
    <w:p w:rsidR="005D57AD" w:rsidRPr="005D57AD" w:rsidRDefault="005D57AD" w:rsidP="005D57AD">
      <w:pPr>
        <w:spacing w:after="0" w:line="240" w:lineRule="auto"/>
        <w:jc w:val="both"/>
        <w:rPr>
          <w:rFonts w:ascii="Arial" w:eastAsia="Times New Roman" w:hAnsi="Arial" w:cs="Arial"/>
          <w:color w:val="000000"/>
          <w:sz w:val="18"/>
          <w:szCs w:val="18"/>
          <w:lang w:eastAsia="es-CO"/>
        </w:rPr>
      </w:pPr>
      <w:r w:rsidRPr="005D57AD">
        <w:rPr>
          <w:rFonts w:ascii="Segoe UI" w:eastAsia="Times New Roman" w:hAnsi="Segoe UI" w:cs="Segoe UI"/>
          <w:color w:val="000000"/>
          <w:sz w:val="18"/>
          <w:szCs w:val="18"/>
          <w:lang w:eastAsia="es-CO"/>
        </w:rPr>
        <w:t>Bogotá, D.C.</w:t>
      </w:r>
    </w:p>
    <w:p w:rsidR="005D57AD" w:rsidRPr="005D57AD" w:rsidRDefault="005D57AD" w:rsidP="005D57AD">
      <w:pPr>
        <w:spacing w:after="0" w:line="240" w:lineRule="auto"/>
        <w:jc w:val="both"/>
        <w:rPr>
          <w:rFonts w:ascii="Arial" w:eastAsia="Times New Roman" w:hAnsi="Arial" w:cs="Arial"/>
          <w:color w:val="000000"/>
          <w:sz w:val="18"/>
          <w:szCs w:val="18"/>
          <w:lang w:eastAsia="es-CO"/>
        </w:rPr>
      </w:pPr>
      <w:r w:rsidRPr="005D57AD">
        <w:rPr>
          <w:rFonts w:ascii="Segoe UI" w:eastAsia="Times New Roman" w:hAnsi="Segoe UI" w:cs="Segoe UI"/>
          <w:color w:val="000000"/>
          <w:sz w:val="18"/>
          <w:szCs w:val="18"/>
          <w:lang w:eastAsia="es-CO"/>
        </w:rPr>
        <w:t> </w:t>
      </w:r>
    </w:p>
    <w:p w:rsidR="005D57AD" w:rsidRPr="005D57AD" w:rsidRDefault="005D57AD" w:rsidP="005D57AD">
      <w:pPr>
        <w:spacing w:after="0" w:line="240" w:lineRule="auto"/>
        <w:jc w:val="both"/>
        <w:rPr>
          <w:rFonts w:ascii="Arial" w:eastAsia="Times New Roman" w:hAnsi="Arial" w:cs="Arial"/>
          <w:color w:val="000000"/>
          <w:sz w:val="18"/>
          <w:szCs w:val="18"/>
          <w:lang w:eastAsia="es-CO"/>
        </w:rPr>
      </w:pPr>
      <w:proofErr w:type="spellStart"/>
      <w:r w:rsidRPr="005D57AD">
        <w:rPr>
          <w:rFonts w:ascii="Segoe UI" w:eastAsia="Times New Roman" w:hAnsi="Segoe UI" w:cs="Segoe UI"/>
          <w:b/>
          <w:bCs/>
          <w:color w:val="000000"/>
          <w:sz w:val="18"/>
          <w:szCs w:val="18"/>
          <w:lang w:eastAsia="es-CO"/>
        </w:rPr>
        <w:t>Ref</w:t>
      </w:r>
      <w:proofErr w:type="spellEnd"/>
      <w:r w:rsidRPr="005D57AD">
        <w:rPr>
          <w:rFonts w:ascii="Segoe UI" w:eastAsia="Times New Roman" w:hAnsi="Segoe UI" w:cs="Segoe UI"/>
          <w:b/>
          <w:bCs/>
          <w:color w:val="000000"/>
          <w:sz w:val="18"/>
          <w:szCs w:val="18"/>
          <w:lang w:eastAsia="es-CO"/>
        </w:rPr>
        <w:t>: </w:t>
      </w:r>
      <w:r w:rsidRPr="005D57AD">
        <w:rPr>
          <w:rFonts w:ascii="Segoe UI" w:eastAsia="Times New Roman" w:hAnsi="Segoe UI" w:cs="Segoe UI"/>
          <w:color w:val="000000"/>
          <w:sz w:val="18"/>
          <w:szCs w:val="18"/>
          <w:lang w:eastAsia="es-CO"/>
        </w:rPr>
        <w:t>Radicado 000455 del 13/12/2018</w:t>
      </w:r>
    </w:p>
    <w:p w:rsidR="005D57AD" w:rsidRPr="005D57AD" w:rsidRDefault="005D57AD" w:rsidP="005D57AD">
      <w:pPr>
        <w:spacing w:after="0" w:line="240" w:lineRule="auto"/>
        <w:jc w:val="both"/>
        <w:rPr>
          <w:rFonts w:ascii="Arial" w:eastAsia="Times New Roman" w:hAnsi="Arial" w:cs="Arial"/>
          <w:color w:val="000000"/>
          <w:sz w:val="18"/>
          <w:szCs w:val="18"/>
          <w:lang w:eastAsia="es-CO"/>
        </w:rPr>
      </w:pPr>
      <w:r w:rsidRPr="005D57AD">
        <w:rPr>
          <w:rFonts w:ascii="Segoe UI" w:eastAsia="Times New Roman" w:hAnsi="Segoe UI" w:cs="Segoe UI"/>
          <w:color w:val="000000"/>
          <w:sz w:val="18"/>
          <w:szCs w:val="18"/>
          <w:lang w:eastAsia="es-CO"/>
        </w:rPr>
        <w:t> </w:t>
      </w:r>
    </w:p>
    <w:p w:rsidR="005D57AD" w:rsidRPr="005D57AD" w:rsidRDefault="005D57AD" w:rsidP="005D57AD">
      <w:pPr>
        <w:spacing w:after="0" w:line="240" w:lineRule="auto"/>
        <w:jc w:val="both"/>
        <w:rPr>
          <w:rFonts w:ascii="Arial" w:eastAsia="Times New Roman" w:hAnsi="Arial" w:cs="Arial"/>
          <w:color w:val="000000"/>
          <w:sz w:val="18"/>
          <w:szCs w:val="18"/>
          <w:lang w:eastAsia="es-CO"/>
        </w:rPr>
      </w:pPr>
      <w:r w:rsidRPr="005D57AD">
        <w:rPr>
          <w:rFonts w:ascii="Segoe UI" w:eastAsia="Times New Roman" w:hAnsi="Segoe UI" w:cs="Segoe UI"/>
          <w:b/>
          <w:bCs/>
          <w:color w:val="000000"/>
          <w:sz w:val="18"/>
          <w:szCs w:val="18"/>
          <w:lang w:eastAsia="es-CO"/>
        </w:rPr>
        <w:t>Tema </w:t>
      </w:r>
      <w:r w:rsidRPr="005D57AD">
        <w:rPr>
          <w:rFonts w:ascii="Segoe UI" w:eastAsia="Times New Roman" w:hAnsi="Segoe UI" w:cs="Segoe UI"/>
          <w:color w:val="000000"/>
          <w:sz w:val="18"/>
          <w:szCs w:val="18"/>
          <w:lang w:eastAsia="es-CO"/>
        </w:rPr>
        <w:t>Retención en la fuente</w:t>
      </w:r>
    </w:p>
    <w:p w:rsidR="005D57AD" w:rsidRPr="005D57AD" w:rsidRDefault="005D57AD" w:rsidP="005D57AD">
      <w:pPr>
        <w:spacing w:after="0" w:line="240" w:lineRule="auto"/>
        <w:jc w:val="both"/>
        <w:rPr>
          <w:rFonts w:ascii="Arial" w:eastAsia="Times New Roman" w:hAnsi="Arial" w:cs="Arial"/>
          <w:color w:val="000000"/>
          <w:sz w:val="18"/>
          <w:szCs w:val="18"/>
          <w:lang w:eastAsia="es-CO"/>
        </w:rPr>
      </w:pPr>
      <w:r w:rsidRPr="005D57AD">
        <w:rPr>
          <w:rFonts w:ascii="Segoe UI" w:eastAsia="Times New Roman" w:hAnsi="Segoe UI" w:cs="Segoe UI"/>
          <w:b/>
          <w:bCs/>
          <w:color w:val="000000"/>
          <w:sz w:val="18"/>
          <w:szCs w:val="18"/>
          <w:lang w:eastAsia="es-CO"/>
        </w:rPr>
        <w:t>Descriptores </w:t>
      </w:r>
      <w:r w:rsidRPr="005D57AD">
        <w:rPr>
          <w:rFonts w:ascii="Segoe UI" w:eastAsia="Times New Roman" w:hAnsi="Segoe UI" w:cs="Segoe UI"/>
          <w:color w:val="000000"/>
          <w:sz w:val="18"/>
          <w:szCs w:val="18"/>
          <w:lang w:eastAsia="es-CO"/>
        </w:rPr>
        <w:t>Ingresos no Sujetos a Retención en la Fuente</w:t>
      </w:r>
    </w:p>
    <w:p w:rsidR="005D57AD" w:rsidRPr="005D57AD" w:rsidRDefault="005D57AD" w:rsidP="005D57AD">
      <w:pPr>
        <w:spacing w:after="0" w:line="240" w:lineRule="auto"/>
        <w:jc w:val="both"/>
        <w:rPr>
          <w:rFonts w:ascii="Arial" w:eastAsia="Times New Roman" w:hAnsi="Arial" w:cs="Arial"/>
          <w:color w:val="000000"/>
          <w:sz w:val="18"/>
          <w:szCs w:val="18"/>
          <w:lang w:eastAsia="es-CO"/>
        </w:rPr>
      </w:pPr>
      <w:r w:rsidRPr="005D57AD">
        <w:rPr>
          <w:rFonts w:ascii="Segoe UI" w:eastAsia="Times New Roman" w:hAnsi="Segoe UI" w:cs="Segoe UI"/>
          <w:b/>
          <w:bCs/>
          <w:color w:val="000000"/>
          <w:sz w:val="18"/>
          <w:szCs w:val="18"/>
          <w:lang w:eastAsia="es-CO"/>
        </w:rPr>
        <w:t>Fuentes formales </w:t>
      </w:r>
      <w:r w:rsidRPr="005D57AD">
        <w:rPr>
          <w:rFonts w:ascii="Segoe UI" w:eastAsia="Times New Roman" w:hAnsi="Segoe UI" w:cs="Segoe UI"/>
          <w:color w:val="000000"/>
          <w:sz w:val="18"/>
          <w:szCs w:val="18"/>
          <w:lang w:eastAsia="es-CO"/>
        </w:rPr>
        <w:t>Parágrafo 3 artículo 61 de la Ley 383 de 1997. Artículos </w:t>
      </w:r>
      <w:hyperlink r:id="rId4" w:tooltip="Estatuto Tributario CETA" w:history="1">
        <w:r w:rsidRPr="005D57AD">
          <w:rPr>
            <w:rFonts w:ascii="Segoe UI" w:eastAsia="Times New Roman" w:hAnsi="Segoe UI" w:cs="Segoe UI"/>
            <w:color w:val="0089E1"/>
            <w:sz w:val="18"/>
            <w:szCs w:val="18"/>
            <w:u w:val="single"/>
            <w:lang w:eastAsia="es-CO"/>
          </w:rPr>
          <w:t>398</w:t>
        </w:r>
      </w:hyperlink>
      <w:r w:rsidRPr="005D57AD">
        <w:rPr>
          <w:rFonts w:ascii="Segoe UI" w:eastAsia="Times New Roman" w:hAnsi="Segoe UI" w:cs="Segoe UI"/>
          <w:color w:val="000000"/>
          <w:sz w:val="18"/>
          <w:szCs w:val="18"/>
          <w:lang w:eastAsia="es-CO"/>
        </w:rPr>
        <w:t> y parágrafo artículo </w:t>
      </w:r>
      <w:hyperlink r:id="rId5" w:tooltip="Estatuto Tributario CETA" w:history="1">
        <w:r w:rsidRPr="005D57AD">
          <w:rPr>
            <w:rFonts w:ascii="Segoe UI" w:eastAsia="Times New Roman" w:hAnsi="Segoe UI" w:cs="Segoe UI"/>
            <w:color w:val="0089E1"/>
            <w:sz w:val="18"/>
            <w:szCs w:val="18"/>
            <w:u w:val="single"/>
            <w:lang w:eastAsia="es-CO"/>
          </w:rPr>
          <w:t>401</w:t>
        </w:r>
      </w:hyperlink>
      <w:r w:rsidRPr="005D57AD">
        <w:rPr>
          <w:rFonts w:ascii="Segoe UI" w:eastAsia="Times New Roman" w:hAnsi="Segoe UI" w:cs="Segoe UI"/>
          <w:color w:val="000000"/>
          <w:sz w:val="18"/>
          <w:szCs w:val="18"/>
          <w:lang w:eastAsia="es-CO"/>
        </w:rPr>
        <w:t> del Estatuto Tributario.</w:t>
      </w:r>
    </w:p>
    <w:p w:rsidR="005D57AD" w:rsidRPr="005D57AD" w:rsidRDefault="005D57AD" w:rsidP="005D57AD">
      <w:pPr>
        <w:spacing w:after="0" w:line="240" w:lineRule="auto"/>
        <w:jc w:val="both"/>
        <w:rPr>
          <w:rFonts w:ascii="Arial" w:eastAsia="Times New Roman" w:hAnsi="Arial" w:cs="Arial"/>
          <w:color w:val="000000"/>
          <w:sz w:val="18"/>
          <w:szCs w:val="18"/>
          <w:lang w:eastAsia="es-CO"/>
        </w:rPr>
      </w:pPr>
      <w:r w:rsidRPr="005D57AD">
        <w:rPr>
          <w:rFonts w:ascii="Segoe UI" w:eastAsia="Times New Roman" w:hAnsi="Segoe UI" w:cs="Segoe UI"/>
          <w:color w:val="000000"/>
          <w:sz w:val="18"/>
          <w:szCs w:val="18"/>
          <w:lang w:eastAsia="es-CO"/>
        </w:rPr>
        <w:t> </w:t>
      </w:r>
    </w:p>
    <w:p w:rsidR="005D57AD" w:rsidRPr="005D57AD" w:rsidRDefault="005D57AD" w:rsidP="005D57AD">
      <w:pPr>
        <w:spacing w:after="0" w:line="240" w:lineRule="auto"/>
        <w:jc w:val="both"/>
        <w:rPr>
          <w:rFonts w:ascii="Arial" w:eastAsia="Times New Roman" w:hAnsi="Arial" w:cs="Arial"/>
          <w:color w:val="000000"/>
          <w:sz w:val="18"/>
          <w:szCs w:val="18"/>
          <w:lang w:eastAsia="es-CO"/>
        </w:rPr>
      </w:pPr>
      <w:r w:rsidRPr="005D57AD">
        <w:rPr>
          <w:rFonts w:ascii="Segoe UI" w:eastAsia="Times New Roman" w:hAnsi="Segoe UI" w:cs="Segoe UI"/>
          <w:color w:val="000000"/>
          <w:sz w:val="18"/>
          <w:szCs w:val="18"/>
          <w:lang w:eastAsia="es-CO"/>
        </w:rPr>
        <w:t> </w:t>
      </w:r>
    </w:p>
    <w:p w:rsidR="005D57AD" w:rsidRPr="005D57AD" w:rsidRDefault="005D57AD" w:rsidP="005D57AD">
      <w:pPr>
        <w:spacing w:after="0" w:line="240" w:lineRule="auto"/>
        <w:jc w:val="both"/>
        <w:rPr>
          <w:rFonts w:ascii="Arial" w:eastAsia="Times New Roman" w:hAnsi="Arial" w:cs="Arial"/>
          <w:color w:val="000000"/>
          <w:sz w:val="18"/>
          <w:szCs w:val="18"/>
          <w:lang w:eastAsia="es-CO"/>
        </w:rPr>
      </w:pPr>
      <w:r w:rsidRPr="005D57AD">
        <w:rPr>
          <w:rFonts w:ascii="Segoe UI" w:eastAsia="Times New Roman" w:hAnsi="Segoe UI" w:cs="Segoe UI"/>
          <w:color w:val="000000"/>
          <w:sz w:val="18"/>
          <w:szCs w:val="18"/>
          <w:lang w:eastAsia="es-CO"/>
        </w:rPr>
        <w:t>Cordial saludo, doctor Pineda:</w:t>
      </w:r>
    </w:p>
    <w:p w:rsidR="005D57AD" w:rsidRPr="005D57AD" w:rsidRDefault="005D57AD" w:rsidP="005D57AD">
      <w:pPr>
        <w:spacing w:after="0" w:line="240" w:lineRule="auto"/>
        <w:jc w:val="both"/>
        <w:rPr>
          <w:rFonts w:ascii="Arial" w:eastAsia="Times New Roman" w:hAnsi="Arial" w:cs="Arial"/>
          <w:color w:val="000000"/>
          <w:sz w:val="18"/>
          <w:szCs w:val="18"/>
          <w:lang w:eastAsia="es-CO"/>
        </w:rPr>
      </w:pPr>
      <w:r w:rsidRPr="005D57AD">
        <w:rPr>
          <w:rFonts w:ascii="Segoe UI" w:eastAsia="Times New Roman" w:hAnsi="Segoe UI" w:cs="Segoe UI"/>
          <w:color w:val="000000"/>
          <w:sz w:val="18"/>
          <w:szCs w:val="18"/>
          <w:lang w:eastAsia="es-CO"/>
        </w:rPr>
        <w:t> </w:t>
      </w:r>
    </w:p>
    <w:p w:rsidR="005D57AD" w:rsidRPr="005D57AD" w:rsidRDefault="005D57AD" w:rsidP="005D57AD">
      <w:pPr>
        <w:spacing w:after="0" w:line="240" w:lineRule="auto"/>
        <w:jc w:val="both"/>
        <w:rPr>
          <w:rFonts w:ascii="Arial" w:eastAsia="Times New Roman" w:hAnsi="Arial" w:cs="Arial"/>
          <w:color w:val="000000"/>
          <w:sz w:val="18"/>
          <w:szCs w:val="18"/>
          <w:lang w:eastAsia="es-CO"/>
        </w:rPr>
      </w:pPr>
      <w:r w:rsidRPr="005D57AD">
        <w:rPr>
          <w:rFonts w:ascii="Segoe UI" w:eastAsia="Times New Roman" w:hAnsi="Segoe UI" w:cs="Segoe UI"/>
          <w:color w:val="000000"/>
          <w:sz w:val="18"/>
          <w:szCs w:val="18"/>
          <w:lang w:eastAsia="es-CO"/>
        </w:rPr>
        <w:t>De conformidad con el artículo 20 del Decreto 4048 de 2008 es función de la Subdirección de Gestión de Normativa y Doctrina absolver de modo general las consultas escritas que se formulen sobre interpretación y aplicación de las normas tributarias de carácter nacional, aduaneras y cambiarias en lo de competencia de esta entidad. En consecuencia, no corresponde a la Subdirección de Normativa y Doctrina conceptuar sobre normas que corresponden a la competencia de otros entes del Estado, ni resolver problemas específicos de asuntos particulares.</w:t>
      </w:r>
    </w:p>
    <w:p w:rsidR="005D57AD" w:rsidRPr="005D57AD" w:rsidRDefault="005D57AD" w:rsidP="005D57AD">
      <w:pPr>
        <w:spacing w:after="0" w:line="240" w:lineRule="auto"/>
        <w:jc w:val="both"/>
        <w:rPr>
          <w:rFonts w:ascii="Arial" w:eastAsia="Times New Roman" w:hAnsi="Arial" w:cs="Arial"/>
          <w:color w:val="000000"/>
          <w:sz w:val="18"/>
          <w:szCs w:val="18"/>
          <w:lang w:eastAsia="es-CO"/>
        </w:rPr>
      </w:pPr>
      <w:r w:rsidRPr="005D57AD">
        <w:rPr>
          <w:rFonts w:ascii="Segoe UI" w:eastAsia="Times New Roman" w:hAnsi="Segoe UI" w:cs="Segoe UI"/>
          <w:color w:val="000000"/>
          <w:sz w:val="18"/>
          <w:szCs w:val="18"/>
          <w:lang w:eastAsia="es-CO"/>
        </w:rPr>
        <w:t> </w:t>
      </w:r>
    </w:p>
    <w:p w:rsidR="005D57AD" w:rsidRPr="005D57AD" w:rsidRDefault="005D57AD" w:rsidP="005D57AD">
      <w:pPr>
        <w:spacing w:after="0" w:line="240" w:lineRule="auto"/>
        <w:jc w:val="both"/>
        <w:rPr>
          <w:rFonts w:ascii="Arial" w:eastAsia="Times New Roman" w:hAnsi="Arial" w:cs="Arial"/>
          <w:color w:val="000000"/>
          <w:sz w:val="18"/>
          <w:szCs w:val="18"/>
          <w:lang w:eastAsia="es-CO"/>
        </w:rPr>
      </w:pPr>
      <w:r w:rsidRPr="005D57AD">
        <w:rPr>
          <w:rFonts w:ascii="Segoe UI" w:eastAsia="Times New Roman" w:hAnsi="Segoe UI" w:cs="Segoe UI"/>
          <w:color w:val="000000"/>
          <w:sz w:val="18"/>
          <w:szCs w:val="18"/>
          <w:lang w:eastAsia="es-CO"/>
        </w:rPr>
        <w:t>Así mismo, el artículo 113 de la Ley 1943 de 2018 establece que los conceptos emitidos por la Dirección de Gestión Jurídica o la Subdirección de Gestión de Normativa y Doctrina de la Dirección de Impuestos y Aduanas Nacionales, constituyen interpretación oficial para los empleados públicos de la Dirección de Impuestos y Aduanas Nacionales; por lo tanto, tendrán carácter obligatorio para los mismos. Los contribuyentes solo podrán sustentar su actuación en la vía gubernativa y en la jurisdiccional con base en la Ley.</w:t>
      </w:r>
    </w:p>
    <w:p w:rsidR="005D57AD" w:rsidRPr="005D57AD" w:rsidRDefault="005D57AD" w:rsidP="005D57AD">
      <w:pPr>
        <w:spacing w:after="0" w:line="240" w:lineRule="auto"/>
        <w:jc w:val="both"/>
        <w:rPr>
          <w:rFonts w:ascii="Arial" w:eastAsia="Times New Roman" w:hAnsi="Arial" w:cs="Arial"/>
          <w:color w:val="000000"/>
          <w:sz w:val="18"/>
          <w:szCs w:val="18"/>
          <w:lang w:eastAsia="es-CO"/>
        </w:rPr>
      </w:pPr>
      <w:r w:rsidRPr="005D57AD">
        <w:rPr>
          <w:rFonts w:ascii="Segoe UI" w:eastAsia="Times New Roman" w:hAnsi="Segoe UI" w:cs="Segoe UI"/>
          <w:b/>
          <w:bCs/>
          <w:color w:val="000000"/>
          <w:sz w:val="18"/>
          <w:szCs w:val="18"/>
          <w:lang w:eastAsia="es-CO"/>
        </w:rPr>
        <w:t> </w:t>
      </w:r>
    </w:p>
    <w:p w:rsidR="005D57AD" w:rsidRPr="005D57AD" w:rsidRDefault="005D57AD" w:rsidP="005D57AD">
      <w:pPr>
        <w:spacing w:after="0" w:line="240" w:lineRule="auto"/>
        <w:jc w:val="both"/>
        <w:rPr>
          <w:rFonts w:ascii="Arial" w:eastAsia="Times New Roman" w:hAnsi="Arial" w:cs="Arial"/>
          <w:color w:val="000000"/>
          <w:sz w:val="18"/>
          <w:szCs w:val="18"/>
          <w:lang w:eastAsia="es-CO"/>
        </w:rPr>
      </w:pPr>
      <w:r w:rsidRPr="005D57AD">
        <w:rPr>
          <w:rFonts w:ascii="Segoe UI" w:eastAsia="Times New Roman" w:hAnsi="Segoe UI" w:cs="Segoe UI"/>
          <w:b/>
          <w:bCs/>
          <w:color w:val="000000"/>
          <w:sz w:val="18"/>
          <w:szCs w:val="18"/>
          <w:lang w:eastAsia="es-CO"/>
        </w:rPr>
        <w:t>La consulta:</w:t>
      </w:r>
    </w:p>
    <w:p w:rsidR="005D57AD" w:rsidRPr="005D57AD" w:rsidRDefault="005D57AD" w:rsidP="005D57AD">
      <w:pPr>
        <w:spacing w:after="0" w:line="240" w:lineRule="auto"/>
        <w:jc w:val="both"/>
        <w:rPr>
          <w:rFonts w:ascii="Arial" w:eastAsia="Times New Roman" w:hAnsi="Arial" w:cs="Arial"/>
          <w:color w:val="000000"/>
          <w:sz w:val="18"/>
          <w:szCs w:val="18"/>
          <w:lang w:eastAsia="es-CO"/>
        </w:rPr>
      </w:pPr>
      <w:r w:rsidRPr="005D57AD">
        <w:rPr>
          <w:rFonts w:ascii="Segoe UI" w:eastAsia="Times New Roman" w:hAnsi="Segoe UI" w:cs="Segoe UI"/>
          <w:color w:val="000000"/>
          <w:sz w:val="18"/>
          <w:szCs w:val="18"/>
          <w:lang w:eastAsia="es-CO"/>
        </w:rPr>
        <w:t> </w:t>
      </w:r>
    </w:p>
    <w:p w:rsidR="005D57AD" w:rsidRPr="005D57AD" w:rsidRDefault="005D57AD" w:rsidP="005D57AD">
      <w:pPr>
        <w:spacing w:after="0" w:line="240" w:lineRule="auto"/>
        <w:jc w:val="both"/>
        <w:rPr>
          <w:rFonts w:ascii="Arial" w:eastAsia="Times New Roman" w:hAnsi="Arial" w:cs="Arial"/>
          <w:color w:val="000000"/>
          <w:sz w:val="18"/>
          <w:szCs w:val="18"/>
          <w:lang w:eastAsia="es-CO"/>
        </w:rPr>
      </w:pPr>
      <w:r w:rsidRPr="005D57AD">
        <w:rPr>
          <w:rFonts w:ascii="Segoe UI" w:eastAsia="Times New Roman" w:hAnsi="Segoe UI" w:cs="Segoe UI"/>
          <w:color w:val="000000"/>
          <w:sz w:val="18"/>
          <w:szCs w:val="18"/>
          <w:lang w:eastAsia="es-CO"/>
        </w:rPr>
        <w:t xml:space="preserve">¿Atendiendo lo establecido en el parágrafo 3º, del artículo 61 de la Ley 383 de 1997, se debe o no efectuar la retención en la fuente por la venta de un inmueble de una persona natural al Resguardo Indígena </w:t>
      </w:r>
      <w:proofErr w:type="spellStart"/>
      <w:r w:rsidRPr="005D57AD">
        <w:rPr>
          <w:rFonts w:ascii="Segoe UI" w:eastAsia="Times New Roman" w:hAnsi="Segoe UI" w:cs="Segoe UI"/>
          <w:color w:val="000000"/>
          <w:sz w:val="18"/>
          <w:szCs w:val="18"/>
          <w:lang w:eastAsia="es-CO"/>
        </w:rPr>
        <w:t>Kankuamo</w:t>
      </w:r>
      <w:proofErr w:type="spellEnd"/>
      <w:r w:rsidRPr="005D57AD">
        <w:rPr>
          <w:rFonts w:ascii="Segoe UI" w:eastAsia="Times New Roman" w:hAnsi="Segoe UI" w:cs="Segoe UI"/>
          <w:color w:val="000000"/>
          <w:sz w:val="18"/>
          <w:szCs w:val="18"/>
          <w:lang w:eastAsia="es-CO"/>
        </w:rPr>
        <w:t>, que se utilizará para la ampliación y saneamiento del territorio, conforme a derecho propio de esa comunidad?</w:t>
      </w:r>
    </w:p>
    <w:p w:rsidR="005D57AD" w:rsidRPr="005D57AD" w:rsidRDefault="005D57AD" w:rsidP="005D57AD">
      <w:pPr>
        <w:spacing w:after="0" w:line="240" w:lineRule="auto"/>
        <w:jc w:val="both"/>
        <w:rPr>
          <w:rFonts w:ascii="Arial" w:eastAsia="Times New Roman" w:hAnsi="Arial" w:cs="Arial"/>
          <w:color w:val="000000"/>
          <w:sz w:val="18"/>
          <w:szCs w:val="18"/>
          <w:lang w:eastAsia="es-CO"/>
        </w:rPr>
      </w:pPr>
      <w:r w:rsidRPr="005D57AD">
        <w:rPr>
          <w:rFonts w:ascii="Segoe UI" w:eastAsia="Times New Roman" w:hAnsi="Segoe UI" w:cs="Segoe UI"/>
          <w:b/>
          <w:bCs/>
          <w:color w:val="000000"/>
          <w:sz w:val="18"/>
          <w:szCs w:val="18"/>
          <w:lang w:eastAsia="es-CO"/>
        </w:rPr>
        <w:t> </w:t>
      </w:r>
    </w:p>
    <w:p w:rsidR="005D57AD" w:rsidRPr="005D57AD" w:rsidRDefault="005D57AD" w:rsidP="005D57AD">
      <w:pPr>
        <w:spacing w:after="0" w:line="240" w:lineRule="auto"/>
        <w:jc w:val="both"/>
        <w:rPr>
          <w:rFonts w:ascii="Arial" w:eastAsia="Times New Roman" w:hAnsi="Arial" w:cs="Arial"/>
          <w:color w:val="000000"/>
          <w:sz w:val="18"/>
          <w:szCs w:val="18"/>
          <w:lang w:eastAsia="es-CO"/>
        </w:rPr>
      </w:pPr>
      <w:r w:rsidRPr="005D57AD">
        <w:rPr>
          <w:rFonts w:ascii="Segoe UI" w:eastAsia="Times New Roman" w:hAnsi="Segoe UI" w:cs="Segoe UI"/>
          <w:b/>
          <w:bCs/>
          <w:color w:val="000000"/>
          <w:sz w:val="18"/>
          <w:szCs w:val="18"/>
          <w:lang w:eastAsia="es-CO"/>
        </w:rPr>
        <w:t>Respuesta:</w:t>
      </w:r>
    </w:p>
    <w:p w:rsidR="005D57AD" w:rsidRPr="005D57AD" w:rsidRDefault="005D57AD" w:rsidP="005D57AD">
      <w:pPr>
        <w:spacing w:after="0" w:line="240" w:lineRule="auto"/>
        <w:jc w:val="both"/>
        <w:rPr>
          <w:rFonts w:ascii="Arial" w:eastAsia="Times New Roman" w:hAnsi="Arial" w:cs="Arial"/>
          <w:color w:val="000000"/>
          <w:sz w:val="18"/>
          <w:szCs w:val="18"/>
          <w:lang w:eastAsia="es-CO"/>
        </w:rPr>
      </w:pPr>
      <w:r w:rsidRPr="005D57AD">
        <w:rPr>
          <w:rFonts w:ascii="Segoe UI" w:eastAsia="Times New Roman" w:hAnsi="Segoe UI" w:cs="Segoe UI"/>
          <w:color w:val="000000"/>
          <w:sz w:val="18"/>
          <w:szCs w:val="18"/>
          <w:lang w:eastAsia="es-CO"/>
        </w:rPr>
        <w:t> </w:t>
      </w:r>
    </w:p>
    <w:p w:rsidR="005D57AD" w:rsidRPr="005D57AD" w:rsidRDefault="005D57AD" w:rsidP="005D57AD">
      <w:pPr>
        <w:spacing w:after="0" w:line="240" w:lineRule="auto"/>
        <w:jc w:val="both"/>
        <w:rPr>
          <w:rFonts w:ascii="Arial" w:eastAsia="Times New Roman" w:hAnsi="Arial" w:cs="Arial"/>
          <w:color w:val="000000"/>
          <w:sz w:val="18"/>
          <w:szCs w:val="18"/>
          <w:lang w:eastAsia="es-CO"/>
        </w:rPr>
      </w:pPr>
      <w:r w:rsidRPr="005D57AD">
        <w:rPr>
          <w:rFonts w:ascii="Segoe UI" w:eastAsia="Times New Roman" w:hAnsi="Segoe UI" w:cs="Segoe UI"/>
          <w:color w:val="000000"/>
          <w:sz w:val="18"/>
          <w:szCs w:val="18"/>
          <w:lang w:eastAsia="es-CO"/>
        </w:rPr>
        <w:t>Mediante la Ley 9 de 1989 se dotaron las normas de desarrollo municipal, compraventa y expropiación de bienes. Por su parte la Ley 383 de 1997, introdujo cambios a la Ley 9 de 1989 a la adquisición de bien de manera voluntaria o por expropiación.</w:t>
      </w:r>
    </w:p>
    <w:p w:rsidR="005D57AD" w:rsidRPr="005D57AD" w:rsidRDefault="005D57AD" w:rsidP="005D57AD">
      <w:pPr>
        <w:spacing w:after="0" w:line="240" w:lineRule="auto"/>
        <w:jc w:val="both"/>
        <w:rPr>
          <w:rFonts w:ascii="Arial" w:eastAsia="Times New Roman" w:hAnsi="Arial" w:cs="Arial"/>
          <w:color w:val="000000"/>
          <w:sz w:val="18"/>
          <w:szCs w:val="18"/>
          <w:lang w:eastAsia="es-CO"/>
        </w:rPr>
      </w:pPr>
      <w:r w:rsidRPr="005D57AD">
        <w:rPr>
          <w:rFonts w:ascii="Segoe UI" w:eastAsia="Times New Roman" w:hAnsi="Segoe UI" w:cs="Segoe UI"/>
          <w:color w:val="000000"/>
          <w:sz w:val="18"/>
          <w:szCs w:val="18"/>
          <w:lang w:eastAsia="es-CO"/>
        </w:rPr>
        <w:t> </w:t>
      </w:r>
    </w:p>
    <w:p w:rsidR="005D57AD" w:rsidRPr="005D57AD" w:rsidRDefault="005D57AD" w:rsidP="005D57AD">
      <w:pPr>
        <w:spacing w:after="0" w:line="240" w:lineRule="auto"/>
        <w:jc w:val="both"/>
        <w:rPr>
          <w:rFonts w:ascii="Arial" w:eastAsia="Times New Roman" w:hAnsi="Arial" w:cs="Arial"/>
          <w:color w:val="000000"/>
          <w:sz w:val="18"/>
          <w:szCs w:val="18"/>
          <w:lang w:eastAsia="es-CO"/>
        </w:rPr>
      </w:pPr>
      <w:r w:rsidRPr="005D57AD">
        <w:rPr>
          <w:rFonts w:ascii="Segoe UI" w:eastAsia="Times New Roman" w:hAnsi="Segoe UI" w:cs="Segoe UI"/>
          <w:color w:val="000000"/>
          <w:sz w:val="18"/>
          <w:szCs w:val="18"/>
          <w:lang w:eastAsia="es-CO"/>
        </w:rPr>
        <w:t>La Ley contempla, en sus artículos 10 que, para efectos de decretar su expropiación y además de los motivos determinados en otras leyes vigentes se puede de utilidad pública o interés social la adquisición de inmuebles para destinarlos a los siguientes fines:</w:t>
      </w:r>
    </w:p>
    <w:p w:rsidR="005D57AD" w:rsidRPr="005D57AD" w:rsidRDefault="005D57AD" w:rsidP="005D57AD">
      <w:pPr>
        <w:spacing w:after="0" w:line="240" w:lineRule="auto"/>
        <w:ind w:left="180"/>
        <w:jc w:val="both"/>
        <w:rPr>
          <w:rFonts w:ascii="Arial" w:eastAsia="Times New Roman" w:hAnsi="Arial" w:cs="Arial"/>
          <w:color w:val="000000"/>
          <w:sz w:val="18"/>
          <w:szCs w:val="18"/>
          <w:lang w:eastAsia="es-CO"/>
        </w:rPr>
      </w:pPr>
      <w:r w:rsidRPr="005D57AD">
        <w:rPr>
          <w:rFonts w:ascii="Segoe UI" w:eastAsia="Times New Roman" w:hAnsi="Segoe UI" w:cs="Segoe UI"/>
          <w:color w:val="000000"/>
          <w:sz w:val="18"/>
          <w:szCs w:val="18"/>
          <w:lang w:eastAsia="es-CO"/>
        </w:rPr>
        <w:t> </w:t>
      </w:r>
    </w:p>
    <w:p w:rsidR="005D57AD" w:rsidRPr="005D57AD" w:rsidRDefault="005D57AD" w:rsidP="005D57AD">
      <w:pPr>
        <w:spacing w:after="0" w:line="240" w:lineRule="auto"/>
        <w:ind w:left="180"/>
        <w:jc w:val="both"/>
        <w:rPr>
          <w:rFonts w:ascii="Arial" w:eastAsia="Times New Roman" w:hAnsi="Arial" w:cs="Arial"/>
          <w:color w:val="000000"/>
          <w:sz w:val="18"/>
          <w:szCs w:val="18"/>
          <w:lang w:eastAsia="es-CO"/>
        </w:rPr>
      </w:pPr>
      <w:r w:rsidRPr="005D57AD">
        <w:rPr>
          <w:rFonts w:ascii="Segoe UI" w:eastAsia="Times New Roman" w:hAnsi="Segoe UI" w:cs="Segoe UI"/>
          <w:i/>
          <w:iCs/>
          <w:color w:val="000000"/>
          <w:sz w:val="18"/>
          <w:szCs w:val="18"/>
          <w:lang w:eastAsia="es-CO"/>
        </w:rPr>
        <w:t xml:space="preserve">“a) Ejecución de proyectos de construcción de infraestructura social en los sectores de la salud, educación, recreación, centrales de abasto y seguridad ciudadana; b) Desarrollo de proyectos de vivienda de interés social, incluyendo los de legalización de títulos en urbanizaciones de hecho o ilegales diferentes a las contempladas en el artículo 53 de la Ley 9ª de 1989, la rehabilitación de inquilinatos y la reubicación de asentamientos humanos ubicados en sectores de alto riesgo; c) Ejecución de programas y proyectos de renovación urbana y provisión de espacios públicos urbanos; d) Ejecución de proyectos de producción, ampliación, abastecimiento y distribución de servicios públicos domiciliarios; e) Ejecución de programas y proyectos de infraestructura vial y de sistemas de transporte masivo; f) Ejecución de proyectos de ornato, turismo y deportes; g) Funcionamiento de las sedes administrativas de las entidades públicas, con excepción de las empresas industriales y comerciales del Estado y las de las sociedades de economía mixta, siempre y cuando su localización y la consideración de utilidad pública estén claramente determinados en los planes de ordenamiento o en los instrumentos que los desarrollen; h) Preservación del patrimonio cultural y natural de interés nacional, regional y local, incluidos el paisajístico, ambiental, histórico y arquitectónico; i) Constitución de zonas de reserva para la expansión futura de las </w:t>
      </w:r>
      <w:r w:rsidRPr="005D57AD">
        <w:rPr>
          <w:rFonts w:ascii="Segoe UI" w:eastAsia="Times New Roman" w:hAnsi="Segoe UI" w:cs="Segoe UI"/>
          <w:i/>
          <w:iCs/>
          <w:color w:val="000000"/>
          <w:sz w:val="18"/>
          <w:szCs w:val="18"/>
          <w:lang w:eastAsia="es-CO"/>
        </w:rPr>
        <w:lastRenderedPageBreak/>
        <w:t>ciudades; j) Constitución de zonas de reserva para la protección del medio ambiente y los recursos hídricos; k) Ejecución de proyectos de urbanización y de construcción prioritarios en los términos previstos en los planes de ordenamiento, de acuerdo con lo dispuesto en la presente ley; l) Ejecución de proyectos de urbanización, redesarrollo y renovación urbana a través de la modalidad de unidades de actuación, mediante los instrumentos de reajuste de tierras, integración inmobiliaria, cooperación o los demás sistemas previstos en esta ley; m) El traslado de poblaciones por riesgos físicos inminentes.</w:t>
      </w:r>
    </w:p>
    <w:p w:rsidR="005D57AD" w:rsidRPr="005D57AD" w:rsidRDefault="005D57AD" w:rsidP="005D57AD">
      <w:pPr>
        <w:spacing w:after="0" w:line="240" w:lineRule="auto"/>
        <w:jc w:val="both"/>
        <w:rPr>
          <w:rFonts w:ascii="Arial" w:eastAsia="Times New Roman" w:hAnsi="Arial" w:cs="Arial"/>
          <w:color w:val="000000"/>
          <w:sz w:val="18"/>
          <w:szCs w:val="18"/>
          <w:lang w:eastAsia="es-CO"/>
        </w:rPr>
      </w:pPr>
      <w:r w:rsidRPr="005D57AD">
        <w:rPr>
          <w:rFonts w:ascii="Segoe UI" w:eastAsia="Times New Roman" w:hAnsi="Segoe UI" w:cs="Segoe UI"/>
          <w:color w:val="000000"/>
          <w:sz w:val="18"/>
          <w:szCs w:val="18"/>
          <w:lang w:eastAsia="es-CO"/>
        </w:rPr>
        <w:t> </w:t>
      </w:r>
    </w:p>
    <w:p w:rsidR="005D57AD" w:rsidRPr="005D57AD" w:rsidRDefault="005D57AD" w:rsidP="005D57AD">
      <w:pPr>
        <w:spacing w:after="0" w:line="240" w:lineRule="auto"/>
        <w:jc w:val="both"/>
        <w:rPr>
          <w:rFonts w:ascii="Arial" w:eastAsia="Times New Roman" w:hAnsi="Arial" w:cs="Arial"/>
          <w:color w:val="000000"/>
          <w:sz w:val="18"/>
          <w:szCs w:val="18"/>
          <w:lang w:eastAsia="es-CO"/>
        </w:rPr>
      </w:pPr>
      <w:r w:rsidRPr="005D57AD">
        <w:rPr>
          <w:rFonts w:ascii="Segoe UI" w:eastAsia="Times New Roman" w:hAnsi="Segoe UI" w:cs="Segoe UI"/>
          <w:color w:val="000000"/>
          <w:sz w:val="18"/>
          <w:szCs w:val="18"/>
          <w:lang w:eastAsia="es-CO"/>
        </w:rPr>
        <w:t>En el artículo 11 de la Ley 383 de 1997, se establece que, </w:t>
      </w:r>
      <w:r w:rsidRPr="005D57AD">
        <w:rPr>
          <w:rFonts w:ascii="Segoe UI" w:eastAsia="Times New Roman" w:hAnsi="Segoe UI" w:cs="Segoe UI"/>
          <w:i/>
          <w:iCs/>
          <w:color w:val="000000"/>
          <w:sz w:val="18"/>
          <w:szCs w:val="18"/>
          <w:lang w:eastAsia="es-CO"/>
        </w:rPr>
        <w:t>“Además de lo dispuesto en otras leyes vigentes, la Nación, las entidades territoriales, las áreas metropolitanas y asociaciones de municipios podrán adquirir por enajenación voluntaria o decretar la expropiación de inmuebles para desarrollar las actividades previstas en el artículo 10 de la Ley 9ª de 1989. Los establecimientos públicos, las empresas industriales y comerciales del Estado y las sociedades de economía mixta asimiladas a las anteriores, de los órdenes nacional, departamental y municipal, que estén expresamente facultadas por sus propios estatutos para desarrollar alguna o algunas de las actividades previstas en el artículo 10 de dicha ley, también podrán adquirir o decretar la expropiación de inmuebles para el desarrollo de dichas actividades.”</w:t>
      </w:r>
    </w:p>
    <w:p w:rsidR="005D57AD" w:rsidRPr="005D57AD" w:rsidRDefault="005D57AD" w:rsidP="005D57AD">
      <w:pPr>
        <w:spacing w:after="0" w:line="240" w:lineRule="auto"/>
        <w:jc w:val="both"/>
        <w:rPr>
          <w:rFonts w:ascii="Arial" w:eastAsia="Times New Roman" w:hAnsi="Arial" w:cs="Arial"/>
          <w:color w:val="000000"/>
          <w:sz w:val="18"/>
          <w:szCs w:val="18"/>
          <w:lang w:eastAsia="es-CO"/>
        </w:rPr>
      </w:pPr>
      <w:r w:rsidRPr="005D57AD">
        <w:rPr>
          <w:rFonts w:ascii="Segoe UI" w:eastAsia="Times New Roman" w:hAnsi="Segoe UI" w:cs="Segoe UI"/>
          <w:color w:val="000000"/>
          <w:sz w:val="18"/>
          <w:szCs w:val="18"/>
          <w:lang w:eastAsia="es-CO"/>
        </w:rPr>
        <w:t> </w:t>
      </w:r>
    </w:p>
    <w:p w:rsidR="005D57AD" w:rsidRPr="005D57AD" w:rsidRDefault="005D57AD" w:rsidP="005D57AD">
      <w:pPr>
        <w:spacing w:after="0" w:line="240" w:lineRule="auto"/>
        <w:jc w:val="both"/>
        <w:rPr>
          <w:rFonts w:ascii="Arial" w:eastAsia="Times New Roman" w:hAnsi="Arial" w:cs="Arial"/>
          <w:color w:val="000000"/>
          <w:sz w:val="18"/>
          <w:szCs w:val="18"/>
          <w:lang w:eastAsia="es-CO"/>
        </w:rPr>
      </w:pPr>
      <w:r w:rsidRPr="005D57AD">
        <w:rPr>
          <w:rFonts w:ascii="Segoe UI" w:eastAsia="Times New Roman" w:hAnsi="Segoe UI" w:cs="Segoe UI"/>
          <w:color w:val="000000"/>
          <w:sz w:val="18"/>
          <w:szCs w:val="18"/>
          <w:lang w:eastAsia="es-CO"/>
        </w:rPr>
        <w:t>La Ley contempla la etapa de negociación se denomina “enajenación voluntaria”, en el proceso de expropiación judicial, y “negociación directa” en la expropiación por vía administrativa. [31]. Esta etapa tiene una duración máxima de 30 días hábiles, contados a partir de la notificación de la oferta de compra [32] en el caso de expropiación judicial, y, a partir de la ejecutoria del acto que determina que la expropiación se hará por vía administrativa en dicho evento.</w:t>
      </w:r>
    </w:p>
    <w:p w:rsidR="005D57AD" w:rsidRPr="005D57AD" w:rsidRDefault="005D57AD" w:rsidP="005D57AD">
      <w:pPr>
        <w:spacing w:after="0" w:line="240" w:lineRule="auto"/>
        <w:jc w:val="both"/>
        <w:rPr>
          <w:rFonts w:ascii="Arial" w:eastAsia="Times New Roman" w:hAnsi="Arial" w:cs="Arial"/>
          <w:color w:val="000000"/>
          <w:sz w:val="18"/>
          <w:szCs w:val="18"/>
          <w:lang w:eastAsia="es-CO"/>
        </w:rPr>
      </w:pPr>
      <w:r w:rsidRPr="005D57AD">
        <w:rPr>
          <w:rFonts w:ascii="Segoe UI" w:eastAsia="Times New Roman" w:hAnsi="Segoe UI" w:cs="Segoe UI"/>
          <w:color w:val="000000"/>
          <w:sz w:val="18"/>
          <w:szCs w:val="18"/>
          <w:lang w:eastAsia="es-CO"/>
        </w:rPr>
        <w:t> </w:t>
      </w:r>
    </w:p>
    <w:p w:rsidR="005D57AD" w:rsidRPr="005D57AD" w:rsidRDefault="005D57AD" w:rsidP="005D57AD">
      <w:pPr>
        <w:spacing w:after="0" w:line="240" w:lineRule="auto"/>
        <w:jc w:val="both"/>
        <w:rPr>
          <w:rFonts w:ascii="Arial" w:eastAsia="Times New Roman" w:hAnsi="Arial" w:cs="Arial"/>
          <w:color w:val="000000"/>
          <w:sz w:val="18"/>
          <w:szCs w:val="18"/>
          <w:lang w:eastAsia="es-CO"/>
        </w:rPr>
      </w:pPr>
      <w:r w:rsidRPr="005D57AD">
        <w:rPr>
          <w:rFonts w:ascii="Segoe UI" w:eastAsia="Times New Roman" w:hAnsi="Segoe UI" w:cs="Segoe UI"/>
          <w:color w:val="000000"/>
          <w:sz w:val="18"/>
          <w:szCs w:val="18"/>
          <w:lang w:eastAsia="es-CO"/>
        </w:rPr>
        <w:t>En la expropiación por vía judicial, la etapa de “enajenación voluntaria” está regulada por los artículos 13 a 17 de la Ley 9 de 1989 y 61 de la Ley 388 de 1997. En la expropiación por vía administrativa, la etapa de “negociación directa” se encuentra regulada en los artículos 66 y 67 de la Ley 388 de 1997.</w:t>
      </w:r>
    </w:p>
    <w:p w:rsidR="005D57AD" w:rsidRPr="005D57AD" w:rsidRDefault="005D57AD" w:rsidP="005D57AD">
      <w:pPr>
        <w:spacing w:after="0" w:line="240" w:lineRule="auto"/>
        <w:jc w:val="both"/>
        <w:rPr>
          <w:rFonts w:ascii="Arial" w:eastAsia="Times New Roman" w:hAnsi="Arial" w:cs="Arial"/>
          <w:color w:val="000000"/>
          <w:sz w:val="18"/>
          <w:szCs w:val="18"/>
          <w:lang w:eastAsia="es-CO"/>
        </w:rPr>
      </w:pPr>
      <w:r w:rsidRPr="005D57AD">
        <w:rPr>
          <w:rFonts w:ascii="Segoe UI" w:eastAsia="Times New Roman" w:hAnsi="Segoe UI" w:cs="Segoe UI"/>
          <w:color w:val="000000"/>
          <w:sz w:val="18"/>
          <w:szCs w:val="18"/>
          <w:lang w:eastAsia="es-CO"/>
        </w:rPr>
        <w:t> </w:t>
      </w:r>
    </w:p>
    <w:p w:rsidR="005D57AD" w:rsidRPr="005D57AD" w:rsidRDefault="005D57AD" w:rsidP="005D57AD">
      <w:pPr>
        <w:spacing w:after="0" w:line="240" w:lineRule="auto"/>
        <w:jc w:val="both"/>
        <w:rPr>
          <w:rFonts w:ascii="Arial" w:eastAsia="Times New Roman" w:hAnsi="Arial" w:cs="Arial"/>
          <w:color w:val="000000"/>
          <w:sz w:val="18"/>
          <w:szCs w:val="18"/>
          <w:lang w:eastAsia="es-CO"/>
        </w:rPr>
      </w:pPr>
      <w:r w:rsidRPr="005D57AD">
        <w:rPr>
          <w:rFonts w:ascii="Segoe UI" w:eastAsia="Times New Roman" w:hAnsi="Segoe UI" w:cs="Segoe UI"/>
          <w:b/>
          <w:bCs/>
          <w:color w:val="000000"/>
          <w:sz w:val="18"/>
          <w:szCs w:val="18"/>
          <w:lang w:eastAsia="es-CO"/>
        </w:rPr>
        <w:t>Ley 388 de 1997, Artículo 61, inciso 6:</w:t>
      </w:r>
      <w:r w:rsidRPr="005D57AD">
        <w:rPr>
          <w:rFonts w:ascii="Segoe UI" w:eastAsia="Times New Roman" w:hAnsi="Segoe UI" w:cs="Segoe UI"/>
          <w:color w:val="000000"/>
          <w:sz w:val="18"/>
          <w:szCs w:val="18"/>
          <w:lang w:eastAsia="es-CO"/>
        </w:rPr>
        <w:t> </w:t>
      </w:r>
      <w:r w:rsidRPr="005D57AD">
        <w:rPr>
          <w:rFonts w:ascii="Segoe UI" w:eastAsia="Times New Roman" w:hAnsi="Segoe UI" w:cs="Segoe UI"/>
          <w:i/>
          <w:iCs/>
          <w:color w:val="000000"/>
          <w:sz w:val="18"/>
          <w:szCs w:val="18"/>
          <w:lang w:eastAsia="es-CO"/>
        </w:rPr>
        <w:t>“Será obligatorio iniciar el proceso de expropiación si transcurridos treinta (30) días hábiles después de la comunicación de la oferta de compra, no se ha llegado a un acuerdo formal para la enajenación voluntaria, contenido en un contrato de promesa de compraventa.”</w:t>
      </w:r>
    </w:p>
    <w:p w:rsidR="005D57AD" w:rsidRPr="005D57AD" w:rsidRDefault="005D57AD" w:rsidP="005D57AD">
      <w:pPr>
        <w:spacing w:after="0" w:line="240" w:lineRule="auto"/>
        <w:jc w:val="both"/>
        <w:rPr>
          <w:rFonts w:ascii="Arial" w:eastAsia="Times New Roman" w:hAnsi="Arial" w:cs="Arial"/>
          <w:color w:val="000000"/>
          <w:sz w:val="18"/>
          <w:szCs w:val="18"/>
          <w:lang w:eastAsia="es-CO"/>
        </w:rPr>
      </w:pPr>
      <w:r w:rsidRPr="005D57AD">
        <w:rPr>
          <w:rFonts w:ascii="Segoe UI" w:eastAsia="Times New Roman" w:hAnsi="Segoe UI" w:cs="Segoe UI"/>
          <w:color w:val="000000"/>
          <w:sz w:val="18"/>
          <w:szCs w:val="18"/>
          <w:lang w:eastAsia="es-CO"/>
        </w:rPr>
        <w:t> </w:t>
      </w:r>
    </w:p>
    <w:p w:rsidR="005D57AD" w:rsidRPr="005D57AD" w:rsidRDefault="005D57AD" w:rsidP="005D57AD">
      <w:pPr>
        <w:spacing w:after="0" w:line="240" w:lineRule="auto"/>
        <w:jc w:val="both"/>
        <w:rPr>
          <w:rFonts w:ascii="Arial" w:eastAsia="Times New Roman" w:hAnsi="Arial" w:cs="Arial"/>
          <w:color w:val="000000"/>
          <w:sz w:val="18"/>
          <w:szCs w:val="18"/>
          <w:lang w:eastAsia="es-CO"/>
        </w:rPr>
      </w:pPr>
      <w:r w:rsidRPr="005D57AD">
        <w:rPr>
          <w:rFonts w:ascii="Segoe UI" w:eastAsia="Times New Roman" w:hAnsi="Segoe UI" w:cs="Segoe UI"/>
          <w:b/>
          <w:bCs/>
          <w:color w:val="000000"/>
          <w:sz w:val="18"/>
          <w:szCs w:val="18"/>
          <w:lang w:eastAsia="es-CO"/>
        </w:rPr>
        <w:t>Ley 388 de 1997, Artículo 61, inciso 7:</w:t>
      </w:r>
      <w:r w:rsidRPr="005D57AD">
        <w:rPr>
          <w:rFonts w:ascii="Segoe UI" w:eastAsia="Times New Roman" w:hAnsi="Segoe UI" w:cs="Segoe UI"/>
          <w:i/>
          <w:iCs/>
          <w:color w:val="000000"/>
          <w:sz w:val="18"/>
          <w:szCs w:val="18"/>
          <w:lang w:eastAsia="es-CO"/>
        </w:rPr>
        <w:t> “No obstante lo anterior, durante el proceso de expropiación y siempre y cuando no se haya dictado sentencia definitiva, será posible que el propietario y la administración lleguen a un acuerdo para la enajenación voluntaria, caso en el cual se pondrá fin al proceso.”</w:t>
      </w:r>
    </w:p>
    <w:p w:rsidR="005D57AD" w:rsidRPr="005D57AD" w:rsidRDefault="005D57AD" w:rsidP="005D57AD">
      <w:pPr>
        <w:spacing w:after="0" w:line="240" w:lineRule="auto"/>
        <w:jc w:val="both"/>
        <w:rPr>
          <w:rFonts w:ascii="Arial" w:eastAsia="Times New Roman" w:hAnsi="Arial" w:cs="Arial"/>
          <w:color w:val="000000"/>
          <w:sz w:val="18"/>
          <w:szCs w:val="18"/>
          <w:lang w:eastAsia="es-CO"/>
        </w:rPr>
      </w:pPr>
      <w:r w:rsidRPr="005D57AD">
        <w:rPr>
          <w:rFonts w:ascii="Segoe UI" w:eastAsia="Times New Roman" w:hAnsi="Segoe UI" w:cs="Segoe UI"/>
          <w:color w:val="000000"/>
          <w:sz w:val="18"/>
          <w:szCs w:val="18"/>
          <w:lang w:eastAsia="es-CO"/>
        </w:rPr>
        <w:t> </w:t>
      </w:r>
    </w:p>
    <w:p w:rsidR="005D57AD" w:rsidRPr="005D57AD" w:rsidRDefault="005D57AD" w:rsidP="005D57AD">
      <w:pPr>
        <w:spacing w:after="0" w:line="240" w:lineRule="auto"/>
        <w:jc w:val="both"/>
        <w:rPr>
          <w:rFonts w:ascii="Arial" w:eastAsia="Times New Roman" w:hAnsi="Arial" w:cs="Arial"/>
          <w:color w:val="000000"/>
          <w:sz w:val="18"/>
          <w:szCs w:val="18"/>
          <w:lang w:eastAsia="es-CO"/>
        </w:rPr>
      </w:pPr>
      <w:r w:rsidRPr="005D57AD">
        <w:rPr>
          <w:rFonts w:ascii="Segoe UI" w:eastAsia="Times New Roman" w:hAnsi="Segoe UI" w:cs="Segoe UI"/>
          <w:b/>
          <w:bCs/>
          <w:color w:val="000000"/>
          <w:sz w:val="18"/>
          <w:szCs w:val="18"/>
          <w:lang w:eastAsia="es-CO"/>
        </w:rPr>
        <w:t>Ley 388 de 1997, Artículo 59.</w:t>
      </w:r>
      <w:r w:rsidRPr="005D57AD">
        <w:rPr>
          <w:rFonts w:ascii="Segoe UI" w:eastAsia="Times New Roman" w:hAnsi="Segoe UI" w:cs="Segoe UI"/>
          <w:b/>
          <w:bCs/>
          <w:i/>
          <w:iCs/>
          <w:color w:val="000000"/>
          <w:sz w:val="18"/>
          <w:szCs w:val="18"/>
          <w:lang w:eastAsia="es-CO"/>
        </w:rPr>
        <w:t> “Entidades competentes.</w:t>
      </w:r>
      <w:r w:rsidRPr="005D57AD">
        <w:rPr>
          <w:rFonts w:ascii="Segoe UI" w:eastAsia="Times New Roman" w:hAnsi="Segoe UI" w:cs="Segoe UI"/>
          <w:i/>
          <w:iCs/>
          <w:color w:val="000000"/>
          <w:sz w:val="18"/>
          <w:szCs w:val="18"/>
          <w:lang w:eastAsia="es-CO"/>
        </w:rPr>
        <w:t> El artículo 11 de la Ley 9ª de 1989, quedará así: Además de lo dispuesto en otras leyes vigentes, la Nación, las entidades territoriales, las áreas metropolitanas y asociaciones de municipios podrán adquirir por enajenación voluntaria o decretar la expropiación de inmuebles para desarrollar las actividades previstas en el artículo 10 de la Ley 9ª de 1989. Los establecimientos públicos, las empresas industriales y comerciales del Estado y las sociedades de economía mixta asimiladas a las anteriores, de los órdenes nacional, departamental y municipal, que estén expresamente facultadas por sus propios estatutos para desarrollar alguna o algunas de las actividades previstas en el artículo 10 de dicha ley, también podrán adquirir o decretar la expropiación de inmuebles para el desarrollo de dichas actividades.”</w:t>
      </w:r>
    </w:p>
    <w:p w:rsidR="005D57AD" w:rsidRPr="005D57AD" w:rsidRDefault="005D57AD" w:rsidP="005D57AD">
      <w:pPr>
        <w:spacing w:after="0" w:line="240" w:lineRule="auto"/>
        <w:jc w:val="both"/>
        <w:rPr>
          <w:rFonts w:ascii="Arial" w:eastAsia="Times New Roman" w:hAnsi="Arial" w:cs="Arial"/>
          <w:color w:val="000000"/>
          <w:sz w:val="18"/>
          <w:szCs w:val="18"/>
          <w:lang w:eastAsia="es-CO"/>
        </w:rPr>
      </w:pPr>
      <w:r w:rsidRPr="005D57AD">
        <w:rPr>
          <w:rFonts w:ascii="Segoe UI" w:eastAsia="Times New Roman" w:hAnsi="Segoe UI" w:cs="Segoe UI"/>
          <w:color w:val="000000"/>
          <w:sz w:val="18"/>
          <w:szCs w:val="18"/>
          <w:lang w:eastAsia="es-CO"/>
        </w:rPr>
        <w:t> </w:t>
      </w:r>
    </w:p>
    <w:p w:rsidR="005D57AD" w:rsidRPr="005D57AD" w:rsidRDefault="005D57AD" w:rsidP="005D57AD">
      <w:pPr>
        <w:spacing w:after="0" w:line="240" w:lineRule="auto"/>
        <w:jc w:val="both"/>
        <w:rPr>
          <w:rFonts w:ascii="Arial" w:eastAsia="Times New Roman" w:hAnsi="Arial" w:cs="Arial"/>
          <w:color w:val="000000"/>
          <w:sz w:val="18"/>
          <w:szCs w:val="18"/>
          <w:lang w:eastAsia="es-CO"/>
        </w:rPr>
      </w:pPr>
      <w:r w:rsidRPr="005D57AD">
        <w:rPr>
          <w:rFonts w:ascii="Segoe UI" w:eastAsia="Times New Roman" w:hAnsi="Segoe UI" w:cs="Segoe UI"/>
          <w:color w:val="000000"/>
          <w:sz w:val="18"/>
          <w:szCs w:val="18"/>
          <w:lang w:eastAsia="es-CO"/>
        </w:rPr>
        <w:t>Así mismo, prescribe el artículo 61 de la Ley 383 de 1997, lo siguiente:</w:t>
      </w:r>
    </w:p>
    <w:p w:rsidR="005D57AD" w:rsidRPr="005D57AD" w:rsidRDefault="005D57AD" w:rsidP="005D57AD">
      <w:pPr>
        <w:spacing w:after="0" w:line="240" w:lineRule="auto"/>
        <w:ind w:left="180"/>
        <w:jc w:val="both"/>
        <w:rPr>
          <w:rFonts w:ascii="Arial" w:eastAsia="Times New Roman" w:hAnsi="Arial" w:cs="Arial"/>
          <w:color w:val="000000"/>
          <w:sz w:val="18"/>
          <w:szCs w:val="18"/>
          <w:lang w:eastAsia="es-CO"/>
        </w:rPr>
      </w:pPr>
      <w:r w:rsidRPr="005D57AD">
        <w:rPr>
          <w:rFonts w:ascii="Segoe UI" w:eastAsia="Times New Roman" w:hAnsi="Segoe UI" w:cs="Segoe UI"/>
          <w:i/>
          <w:iCs/>
          <w:color w:val="000000"/>
          <w:sz w:val="18"/>
          <w:szCs w:val="18"/>
          <w:lang w:eastAsia="es-CO"/>
        </w:rPr>
        <w:t> </w:t>
      </w:r>
    </w:p>
    <w:p w:rsidR="005D57AD" w:rsidRPr="005D57AD" w:rsidRDefault="005D57AD" w:rsidP="005D57AD">
      <w:pPr>
        <w:spacing w:after="0" w:line="240" w:lineRule="auto"/>
        <w:ind w:left="180"/>
        <w:jc w:val="both"/>
        <w:rPr>
          <w:rFonts w:ascii="Arial" w:eastAsia="Times New Roman" w:hAnsi="Arial" w:cs="Arial"/>
          <w:color w:val="000000"/>
          <w:sz w:val="18"/>
          <w:szCs w:val="18"/>
          <w:lang w:eastAsia="es-CO"/>
        </w:rPr>
      </w:pPr>
      <w:r w:rsidRPr="005D57AD">
        <w:rPr>
          <w:rFonts w:ascii="Segoe UI" w:eastAsia="Times New Roman" w:hAnsi="Segoe UI" w:cs="Segoe UI"/>
          <w:b/>
          <w:bCs/>
          <w:i/>
          <w:iCs/>
          <w:color w:val="000000"/>
          <w:sz w:val="18"/>
          <w:szCs w:val="18"/>
          <w:lang w:eastAsia="es-CO"/>
        </w:rPr>
        <w:t>ARTÍCULO 61. MODIFICACIONES AL PROCEDIMIENTO DE ENAJENACIÓN VOLUNTARIA.</w:t>
      </w:r>
      <w:r w:rsidRPr="005D57AD">
        <w:rPr>
          <w:rFonts w:ascii="Segoe UI" w:eastAsia="Times New Roman" w:hAnsi="Segoe UI" w:cs="Segoe UI"/>
          <w:i/>
          <w:iCs/>
          <w:color w:val="000000"/>
          <w:sz w:val="18"/>
          <w:szCs w:val="18"/>
          <w:lang w:eastAsia="es-CO"/>
        </w:rPr>
        <w:t> Se introducen las siguientes modificaciones al procedimiento de enajenación voluntaria regulado por la Ley 9a. de 1989:</w:t>
      </w:r>
    </w:p>
    <w:p w:rsidR="005D57AD" w:rsidRPr="005D57AD" w:rsidRDefault="005D57AD" w:rsidP="005D57AD">
      <w:pPr>
        <w:spacing w:after="0" w:line="240" w:lineRule="auto"/>
        <w:ind w:left="180"/>
        <w:jc w:val="both"/>
        <w:rPr>
          <w:rFonts w:ascii="Arial" w:eastAsia="Times New Roman" w:hAnsi="Arial" w:cs="Arial"/>
          <w:color w:val="000000"/>
          <w:sz w:val="18"/>
          <w:szCs w:val="18"/>
          <w:lang w:eastAsia="es-CO"/>
        </w:rPr>
      </w:pPr>
      <w:r w:rsidRPr="005D57AD">
        <w:rPr>
          <w:rFonts w:ascii="Segoe UI" w:eastAsia="Times New Roman" w:hAnsi="Segoe UI" w:cs="Segoe UI"/>
          <w:i/>
          <w:iCs/>
          <w:color w:val="000000"/>
          <w:sz w:val="18"/>
          <w:szCs w:val="18"/>
          <w:lang w:eastAsia="es-CO"/>
        </w:rPr>
        <w:t> </w:t>
      </w:r>
    </w:p>
    <w:p w:rsidR="005D57AD" w:rsidRPr="005D57AD" w:rsidRDefault="005D57AD" w:rsidP="005D57AD">
      <w:pPr>
        <w:spacing w:after="0" w:line="240" w:lineRule="auto"/>
        <w:ind w:left="180"/>
        <w:jc w:val="both"/>
        <w:rPr>
          <w:rFonts w:ascii="Arial" w:eastAsia="Times New Roman" w:hAnsi="Arial" w:cs="Arial"/>
          <w:color w:val="000000"/>
          <w:sz w:val="18"/>
          <w:szCs w:val="18"/>
          <w:lang w:eastAsia="es-CO"/>
        </w:rPr>
      </w:pPr>
      <w:r w:rsidRPr="005D57AD">
        <w:rPr>
          <w:rFonts w:ascii="Segoe UI" w:eastAsia="Times New Roman" w:hAnsi="Segoe UI" w:cs="Segoe UI"/>
          <w:i/>
          <w:iCs/>
          <w:color w:val="000000"/>
          <w:sz w:val="18"/>
          <w:szCs w:val="18"/>
          <w:lang w:eastAsia="es-CO"/>
        </w:rPr>
        <w:t>El precio de adquisición será igual al valor comercial determinado por el Instituto Geográfico Agustín Codazzi, la entidad que cumpla sus funciones, o por peritos privados inscritos en las lonjas o asociaciones correspondientes, según lo determinado por el Decreto-ley 2150 de 1995, de conformidad con las normas y procedimientos establecidos en el decreto reglamentario especial que sobre avalúos expida el gobierno. El valor comercial se determinará teniendo en cuenta la reglamentación urbanística municipal o distrital vigente al momento de la oferta de compra en relación con el inmueble a adquirir, y en particular con su destinación económica.</w:t>
      </w:r>
    </w:p>
    <w:p w:rsidR="005D57AD" w:rsidRPr="005D57AD" w:rsidRDefault="005D57AD" w:rsidP="005D57AD">
      <w:pPr>
        <w:spacing w:after="0" w:line="240" w:lineRule="auto"/>
        <w:ind w:left="180"/>
        <w:jc w:val="both"/>
        <w:rPr>
          <w:rFonts w:ascii="Arial" w:eastAsia="Times New Roman" w:hAnsi="Arial" w:cs="Arial"/>
          <w:color w:val="000000"/>
          <w:sz w:val="18"/>
          <w:szCs w:val="18"/>
          <w:lang w:eastAsia="es-CO"/>
        </w:rPr>
      </w:pPr>
      <w:r w:rsidRPr="005D57AD">
        <w:rPr>
          <w:rFonts w:ascii="Segoe UI" w:eastAsia="Times New Roman" w:hAnsi="Segoe UI" w:cs="Segoe UI"/>
          <w:i/>
          <w:iCs/>
          <w:color w:val="000000"/>
          <w:sz w:val="18"/>
          <w:szCs w:val="18"/>
          <w:lang w:eastAsia="es-CO"/>
        </w:rPr>
        <w:t> </w:t>
      </w:r>
    </w:p>
    <w:p w:rsidR="005D57AD" w:rsidRPr="005D57AD" w:rsidRDefault="005D57AD" w:rsidP="005D57AD">
      <w:pPr>
        <w:spacing w:after="0" w:line="240" w:lineRule="auto"/>
        <w:ind w:left="180"/>
        <w:jc w:val="both"/>
        <w:rPr>
          <w:rFonts w:ascii="Arial" w:eastAsia="Times New Roman" w:hAnsi="Arial" w:cs="Arial"/>
          <w:color w:val="000000"/>
          <w:sz w:val="18"/>
          <w:szCs w:val="18"/>
          <w:lang w:eastAsia="es-CO"/>
        </w:rPr>
      </w:pPr>
      <w:r w:rsidRPr="005D57AD">
        <w:rPr>
          <w:rFonts w:ascii="Segoe UI" w:eastAsia="Times New Roman" w:hAnsi="Segoe UI" w:cs="Segoe UI"/>
          <w:i/>
          <w:iCs/>
          <w:color w:val="000000"/>
          <w:sz w:val="18"/>
          <w:szCs w:val="18"/>
          <w:lang w:eastAsia="es-CO"/>
        </w:rPr>
        <w:t>La forma de pago del precio de adquisición podrá ser en dinero o en especie, en títulos valores, derechos de construcción y desarrollo, derechos de participación en el proyecto a desarrollar o permuta.</w:t>
      </w:r>
    </w:p>
    <w:p w:rsidR="005D57AD" w:rsidRPr="005D57AD" w:rsidRDefault="005D57AD" w:rsidP="005D57AD">
      <w:pPr>
        <w:spacing w:after="0" w:line="240" w:lineRule="auto"/>
        <w:ind w:left="180"/>
        <w:jc w:val="both"/>
        <w:rPr>
          <w:rFonts w:ascii="Arial" w:eastAsia="Times New Roman" w:hAnsi="Arial" w:cs="Arial"/>
          <w:color w:val="000000"/>
          <w:sz w:val="18"/>
          <w:szCs w:val="18"/>
          <w:lang w:eastAsia="es-CO"/>
        </w:rPr>
      </w:pPr>
      <w:r w:rsidRPr="005D57AD">
        <w:rPr>
          <w:rFonts w:ascii="Segoe UI" w:eastAsia="Times New Roman" w:hAnsi="Segoe UI" w:cs="Segoe UI"/>
          <w:i/>
          <w:iCs/>
          <w:color w:val="000000"/>
          <w:sz w:val="18"/>
          <w:szCs w:val="18"/>
          <w:lang w:eastAsia="es-CO"/>
        </w:rPr>
        <w:t> </w:t>
      </w:r>
    </w:p>
    <w:p w:rsidR="005D57AD" w:rsidRPr="005D57AD" w:rsidRDefault="005D57AD" w:rsidP="005D57AD">
      <w:pPr>
        <w:spacing w:after="0" w:line="240" w:lineRule="auto"/>
        <w:ind w:left="180"/>
        <w:jc w:val="both"/>
        <w:rPr>
          <w:rFonts w:ascii="Arial" w:eastAsia="Times New Roman" w:hAnsi="Arial" w:cs="Arial"/>
          <w:color w:val="000000"/>
          <w:sz w:val="18"/>
          <w:szCs w:val="18"/>
          <w:lang w:eastAsia="es-CO"/>
        </w:rPr>
      </w:pPr>
      <w:r w:rsidRPr="005D57AD">
        <w:rPr>
          <w:rFonts w:ascii="Segoe UI" w:eastAsia="Times New Roman" w:hAnsi="Segoe UI" w:cs="Segoe UI"/>
          <w:i/>
          <w:iCs/>
          <w:color w:val="000000"/>
          <w:sz w:val="18"/>
          <w:szCs w:val="18"/>
          <w:lang w:eastAsia="es-CO"/>
        </w:rPr>
        <w:t>Cuando de conformidad con lo dispuesto en la presente ley se acepte la concurrencia de terceros en la ejecución de proyectos, los recursos para el pago del precio podrán provenir de su participación.</w:t>
      </w:r>
    </w:p>
    <w:p w:rsidR="005D57AD" w:rsidRPr="005D57AD" w:rsidRDefault="005D57AD" w:rsidP="005D57AD">
      <w:pPr>
        <w:spacing w:after="0" w:line="240" w:lineRule="auto"/>
        <w:ind w:left="180"/>
        <w:jc w:val="both"/>
        <w:rPr>
          <w:rFonts w:ascii="Arial" w:eastAsia="Times New Roman" w:hAnsi="Arial" w:cs="Arial"/>
          <w:color w:val="000000"/>
          <w:sz w:val="18"/>
          <w:szCs w:val="18"/>
          <w:lang w:eastAsia="es-CO"/>
        </w:rPr>
      </w:pPr>
      <w:r w:rsidRPr="005D57AD">
        <w:rPr>
          <w:rFonts w:ascii="Segoe UI" w:eastAsia="Times New Roman" w:hAnsi="Segoe UI" w:cs="Segoe UI"/>
          <w:i/>
          <w:iCs/>
          <w:color w:val="000000"/>
          <w:sz w:val="18"/>
          <w:szCs w:val="18"/>
          <w:lang w:eastAsia="es-CO"/>
        </w:rPr>
        <w:t> </w:t>
      </w:r>
    </w:p>
    <w:p w:rsidR="005D57AD" w:rsidRPr="005D57AD" w:rsidRDefault="005D57AD" w:rsidP="005D57AD">
      <w:pPr>
        <w:spacing w:after="0" w:line="240" w:lineRule="auto"/>
        <w:ind w:left="180"/>
        <w:jc w:val="both"/>
        <w:rPr>
          <w:rFonts w:ascii="Arial" w:eastAsia="Times New Roman" w:hAnsi="Arial" w:cs="Arial"/>
          <w:color w:val="000000"/>
          <w:sz w:val="18"/>
          <w:szCs w:val="18"/>
          <w:lang w:eastAsia="es-CO"/>
        </w:rPr>
      </w:pPr>
      <w:r w:rsidRPr="005D57AD">
        <w:rPr>
          <w:rFonts w:ascii="Segoe UI" w:eastAsia="Times New Roman" w:hAnsi="Segoe UI" w:cs="Segoe UI"/>
          <w:i/>
          <w:iCs/>
          <w:color w:val="000000"/>
          <w:sz w:val="18"/>
          <w:szCs w:val="18"/>
          <w:lang w:eastAsia="es-CO"/>
        </w:rPr>
        <w:t>La comunicación del acto por medio del cual se hace la oferta de compra se hará con sujeción a las reglas del Código Contencioso Administrativo y no dará lugar a recursos en vía gubernativa.</w:t>
      </w:r>
    </w:p>
    <w:p w:rsidR="005D57AD" w:rsidRPr="005D57AD" w:rsidRDefault="005D57AD" w:rsidP="005D57AD">
      <w:pPr>
        <w:spacing w:after="0" w:line="240" w:lineRule="auto"/>
        <w:ind w:left="180"/>
        <w:jc w:val="both"/>
        <w:rPr>
          <w:rFonts w:ascii="Arial" w:eastAsia="Times New Roman" w:hAnsi="Arial" w:cs="Arial"/>
          <w:color w:val="000000"/>
          <w:sz w:val="18"/>
          <w:szCs w:val="18"/>
          <w:lang w:eastAsia="es-CO"/>
        </w:rPr>
      </w:pPr>
      <w:r w:rsidRPr="005D57AD">
        <w:rPr>
          <w:rFonts w:ascii="Segoe UI" w:eastAsia="Times New Roman" w:hAnsi="Segoe UI" w:cs="Segoe UI"/>
          <w:i/>
          <w:iCs/>
          <w:color w:val="000000"/>
          <w:sz w:val="18"/>
          <w:szCs w:val="18"/>
          <w:lang w:eastAsia="es-CO"/>
        </w:rPr>
        <w:t> </w:t>
      </w:r>
    </w:p>
    <w:p w:rsidR="005D57AD" w:rsidRPr="005D57AD" w:rsidRDefault="005D57AD" w:rsidP="005D57AD">
      <w:pPr>
        <w:spacing w:after="0" w:line="240" w:lineRule="auto"/>
        <w:ind w:left="180"/>
        <w:jc w:val="both"/>
        <w:rPr>
          <w:rFonts w:ascii="Arial" w:eastAsia="Times New Roman" w:hAnsi="Arial" w:cs="Arial"/>
          <w:color w:val="000000"/>
          <w:sz w:val="18"/>
          <w:szCs w:val="18"/>
          <w:lang w:eastAsia="es-CO"/>
        </w:rPr>
      </w:pPr>
      <w:r w:rsidRPr="005D57AD">
        <w:rPr>
          <w:rFonts w:ascii="Segoe UI" w:eastAsia="Times New Roman" w:hAnsi="Segoe UI" w:cs="Segoe UI"/>
          <w:i/>
          <w:iCs/>
          <w:color w:val="000000"/>
          <w:sz w:val="18"/>
          <w:szCs w:val="18"/>
          <w:lang w:eastAsia="es-CO"/>
        </w:rPr>
        <w:lastRenderedPageBreak/>
        <w:t>Será obligatorio iniciar el proceso de expropiación si transcurridos treinta (30) días hábiles después de la comunicación de la oferta de compra, no se ha llegado a un acuerdo formal para la enajenación voluntaria, contenido en un contrato de promesa de compraventa.</w:t>
      </w:r>
    </w:p>
    <w:p w:rsidR="005D57AD" w:rsidRPr="005D57AD" w:rsidRDefault="005D57AD" w:rsidP="005D57AD">
      <w:pPr>
        <w:spacing w:after="0" w:line="240" w:lineRule="auto"/>
        <w:ind w:left="180"/>
        <w:jc w:val="both"/>
        <w:rPr>
          <w:rFonts w:ascii="Arial" w:eastAsia="Times New Roman" w:hAnsi="Arial" w:cs="Arial"/>
          <w:color w:val="000000"/>
          <w:sz w:val="18"/>
          <w:szCs w:val="18"/>
          <w:lang w:eastAsia="es-CO"/>
        </w:rPr>
      </w:pPr>
      <w:r w:rsidRPr="005D57AD">
        <w:rPr>
          <w:rFonts w:ascii="Segoe UI" w:eastAsia="Times New Roman" w:hAnsi="Segoe UI" w:cs="Segoe UI"/>
          <w:i/>
          <w:iCs/>
          <w:color w:val="000000"/>
          <w:sz w:val="18"/>
          <w:szCs w:val="18"/>
          <w:lang w:eastAsia="es-CO"/>
        </w:rPr>
        <w:t> </w:t>
      </w:r>
    </w:p>
    <w:p w:rsidR="005D57AD" w:rsidRPr="005D57AD" w:rsidRDefault="005D57AD" w:rsidP="005D57AD">
      <w:pPr>
        <w:spacing w:after="0" w:line="240" w:lineRule="auto"/>
        <w:ind w:left="180"/>
        <w:jc w:val="both"/>
        <w:rPr>
          <w:rFonts w:ascii="Arial" w:eastAsia="Times New Roman" w:hAnsi="Arial" w:cs="Arial"/>
          <w:color w:val="000000"/>
          <w:sz w:val="18"/>
          <w:szCs w:val="18"/>
          <w:lang w:eastAsia="es-CO"/>
        </w:rPr>
      </w:pPr>
      <w:r w:rsidRPr="005D57AD">
        <w:rPr>
          <w:rFonts w:ascii="Segoe UI" w:eastAsia="Times New Roman" w:hAnsi="Segoe UI" w:cs="Segoe UI"/>
          <w:i/>
          <w:iCs/>
          <w:color w:val="000000"/>
          <w:sz w:val="18"/>
          <w:szCs w:val="18"/>
          <w:lang w:eastAsia="es-CO"/>
        </w:rPr>
        <w:t>No obstante, lo anterior, durante el proceso de expropiación y siempre y cuando no se haya dictado sentencia definitiva, será posible que el propietario y la administración lleguen a un acuerdo para la enajenación voluntaria, caso en el cual se pondrá fin al proceso.</w:t>
      </w:r>
    </w:p>
    <w:p w:rsidR="005D57AD" w:rsidRPr="005D57AD" w:rsidRDefault="005D57AD" w:rsidP="005D57AD">
      <w:pPr>
        <w:spacing w:after="0" w:line="240" w:lineRule="auto"/>
        <w:ind w:left="180"/>
        <w:jc w:val="both"/>
        <w:rPr>
          <w:rFonts w:ascii="Arial" w:eastAsia="Times New Roman" w:hAnsi="Arial" w:cs="Arial"/>
          <w:color w:val="000000"/>
          <w:sz w:val="18"/>
          <w:szCs w:val="18"/>
          <w:lang w:eastAsia="es-CO"/>
        </w:rPr>
      </w:pPr>
      <w:r w:rsidRPr="005D57AD">
        <w:rPr>
          <w:rFonts w:ascii="Segoe UI" w:eastAsia="Times New Roman" w:hAnsi="Segoe UI" w:cs="Segoe UI"/>
          <w:i/>
          <w:iCs/>
          <w:color w:val="000000"/>
          <w:sz w:val="18"/>
          <w:szCs w:val="18"/>
          <w:lang w:eastAsia="es-CO"/>
        </w:rPr>
        <w:t> </w:t>
      </w:r>
    </w:p>
    <w:p w:rsidR="005D57AD" w:rsidRPr="005D57AD" w:rsidRDefault="005D57AD" w:rsidP="005D57AD">
      <w:pPr>
        <w:spacing w:after="0" w:line="240" w:lineRule="auto"/>
        <w:ind w:left="180"/>
        <w:jc w:val="both"/>
        <w:rPr>
          <w:rFonts w:ascii="Arial" w:eastAsia="Times New Roman" w:hAnsi="Arial" w:cs="Arial"/>
          <w:color w:val="000000"/>
          <w:sz w:val="18"/>
          <w:szCs w:val="18"/>
          <w:lang w:eastAsia="es-CO"/>
        </w:rPr>
      </w:pPr>
      <w:r w:rsidRPr="005D57AD">
        <w:rPr>
          <w:rFonts w:ascii="Segoe UI" w:eastAsia="Times New Roman" w:hAnsi="Segoe UI" w:cs="Segoe UI"/>
          <w:i/>
          <w:iCs/>
          <w:color w:val="000000"/>
          <w:sz w:val="18"/>
          <w:szCs w:val="18"/>
          <w:lang w:eastAsia="es-CO"/>
        </w:rPr>
        <w:t>Los inmuebles adquiridos podrán ser desarrollados directamente por la entidad adquirente o por un tercero, siempre y cuando la primera haya establecido un contrato o convenio respectivo que garantice la utilización de los inmuebles para el propósito que fueron adquiridos.</w:t>
      </w:r>
    </w:p>
    <w:p w:rsidR="005D57AD" w:rsidRPr="005D57AD" w:rsidRDefault="005D57AD" w:rsidP="005D57AD">
      <w:pPr>
        <w:spacing w:after="0" w:line="240" w:lineRule="auto"/>
        <w:ind w:left="180"/>
        <w:jc w:val="both"/>
        <w:rPr>
          <w:rFonts w:ascii="Arial" w:eastAsia="Times New Roman" w:hAnsi="Arial" w:cs="Arial"/>
          <w:color w:val="000000"/>
          <w:sz w:val="18"/>
          <w:szCs w:val="18"/>
          <w:lang w:eastAsia="es-CO"/>
        </w:rPr>
      </w:pPr>
      <w:r w:rsidRPr="005D57AD">
        <w:rPr>
          <w:rFonts w:ascii="Segoe UI" w:eastAsia="Times New Roman" w:hAnsi="Segoe UI" w:cs="Segoe UI"/>
          <w:i/>
          <w:iCs/>
          <w:color w:val="000000"/>
          <w:sz w:val="18"/>
          <w:szCs w:val="18"/>
          <w:lang w:eastAsia="es-CO"/>
        </w:rPr>
        <w:t> </w:t>
      </w:r>
    </w:p>
    <w:p w:rsidR="005D57AD" w:rsidRPr="005D57AD" w:rsidRDefault="005D57AD" w:rsidP="005D57AD">
      <w:pPr>
        <w:spacing w:after="0" w:line="240" w:lineRule="auto"/>
        <w:ind w:left="180"/>
        <w:jc w:val="both"/>
        <w:rPr>
          <w:rFonts w:ascii="Arial" w:eastAsia="Times New Roman" w:hAnsi="Arial" w:cs="Arial"/>
          <w:color w:val="000000"/>
          <w:sz w:val="18"/>
          <w:szCs w:val="18"/>
          <w:lang w:eastAsia="es-CO"/>
        </w:rPr>
      </w:pPr>
      <w:r w:rsidRPr="005D57AD">
        <w:rPr>
          <w:rFonts w:ascii="Segoe UI" w:eastAsia="Times New Roman" w:hAnsi="Segoe UI" w:cs="Segoe UI"/>
          <w:b/>
          <w:bCs/>
          <w:i/>
          <w:iCs/>
          <w:color w:val="000000"/>
          <w:sz w:val="18"/>
          <w:szCs w:val="18"/>
          <w:lang w:eastAsia="es-CO"/>
        </w:rPr>
        <w:t>PARÁGRAFO 1o.</w:t>
      </w:r>
      <w:r w:rsidRPr="005D57AD">
        <w:rPr>
          <w:rFonts w:ascii="Segoe UI" w:eastAsia="Times New Roman" w:hAnsi="Segoe UI" w:cs="Segoe UI"/>
          <w:i/>
          <w:iCs/>
          <w:color w:val="000000"/>
          <w:sz w:val="18"/>
          <w:szCs w:val="18"/>
          <w:lang w:eastAsia="es-CO"/>
        </w:rPr>
        <w:t> Al valor comercial al que se refiere el presente artículo, se le descontará el monto correspondiente a la plusvalía o mayor valor generado por el anuncio del proyecto u obra que constituye el motivo de utilidad pública para la adquisición, salvo el caso en que el propietario hubiere pagado la participación en plusvalía o la contribución de valorización, según sea del caso.</w:t>
      </w:r>
    </w:p>
    <w:p w:rsidR="005D57AD" w:rsidRPr="005D57AD" w:rsidRDefault="005D57AD" w:rsidP="005D57AD">
      <w:pPr>
        <w:spacing w:after="0" w:line="240" w:lineRule="auto"/>
        <w:ind w:left="180"/>
        <w:jc w:val="both"/>
        <w:rPr>
          <w:rFonts w:ascii="Arial" w:eastAsia="Times New Roman" w:hAnsi="Arial" w:cs="Arial"/>
          <w:color w:val="000000"/>
          <w:sz w:val="18"/>
          <w:szCs w:val="18"/>
          <w:lang w:eastAsia="es-CO"/>
        </w:rPr>
      </w:pPr>
      <w:r w:rsidRPr="005D57AD">
        <w:rPr>
          <w:rFonts w:ascii="Segoe UI" w:eastAsia="Times New Roman" w:hAnsi="Segoe UI" w:cs="Segoe UI"/>
          <w:i/>
          <w:iCs/>
          <w:color w:val="000000"/>
          <w:sz w:val="18"/>
          <w:szCs w:val="18"/>
          <w:lang w:eastAsia="es-CO"/>
        </w:rPr>
        <w:t> </w:t>
      </w:r>
    </w:p>
    <w:p w:rsidR="005D57AD" w:rsidRPr="005D57AD" w:rsidRDefault="005D57AD" w:rsidP="005D57AD">
      <w:pPr>
        <w:spacing w:after="0" w:line="240" w:lineRule="auto"/>
        <w:ind w:left="180"/>
        <w:jc w:val="both"/>
        <w:rPr>
          <w:rFonts w:ascii="Arial" w:eastAsia="Times New Roman" w:hAnsi="Arial" w:cs="Arial"/>
          <w:color w:val="000000"/>
          <w:sz w:val="18"/>
          <w:szCs w:val="18"/>
          <w:lang w:eastAsia="es-CO"/>
        </w:rPr>
      </w:pPr>
      <w:r w:rsidRPr="005D57AD">
        <w:rPr>
          <w:rFonts w:ascii="Segoe UI" w:eastAsia="Times New Roman" w:hAnsi="Segoe UI" w:cs="Segoe UI"/>
          <w:b/>
          <w:bCs/>
          <w:i/>
          <w:iCs/>
          <w:color w:val="000000"/>
          <w:sz w:val="18"/>
          <w:szCs w:val="18"/>
          <w:lang w:eastAsia="es-CO"/>
        </w:rPr>
        <w:t>PARÁGRAFO 2o.</w:t>
      </w:r>
      <w:r w:rsidRPr="005D57AD">
        <w:rPr>
          <w:rFonts w:ascii="Segoe UI" w:eastAsia="Times New Roman" w:hAnsi="Segoe UI" w:cs="Segoe UI"/>
          <w:i/>
          <w:iCs/>
          <w:color w:val="000000"/>
          <w:sz w:val="18"/>
          <w:szCs w:val="18"/>
          <w:lang w:eastAsia="es-CO"/>
        </w:rPr>
        <w:t> Para todos los efectos de que trata la presente ley el Gobierno Nacional expedirá un reglamento donde se precisarán los parámetros y criterios que deberán observarse para la determinación de los valores comerciales basándose en factores tales como la destinación económica de los inmuebles en la zona geoeconómica homogénea, localización, características y usos del inmueble, factibilidad de prestación de servicios públicos, vialidad y transporte.</w:t>
      </w:r>
    </w:p>
    <w:p w:rsidR="005D57AD" w:rsidRPr="005D57AD" w:rsidRDefault="005D57AD" w:rsidP="005D57AD">
      <w:pPr>
        <w:spacing w:after="0" w:line="240" w:lineRule="auto"/>
        <w:ind w:left="180"/>
        <w:jc w:val="both"/>
        <w:rPr>
          <w:rFonts w:ascii="Arial" w:eastAsia="Times New Roman" w:hAnsi="Arial" w:cs="Arial"/>
          <w:color w:val="000000"/>
          <w:sz w:val="18"/>
          <w:szCs w:val="18"/>
          <w:lang w:eastAsia="es-CO"/>
        </w:rPr>
      </w:pPr>
      <w:r w:rsidRPr="005D57AD">
        <w:rPr>
          <w:rFonts w:ascii="Segoe UI" w:eastAsia="Times New Roman" w:hAnsi="Segoe UI" w:cs="Segoe UI"/>
          <w:i/>
          <w:iCs/>
          <w:color w:val="000000"/>
          <w:sz w:val="18"/>
          <w:szCs w:val="18"/>
          <w:lang w:eastAsia="es-CO"/>
        </w:rPr>
        <w:t> </w:t>
      </w:r>
    </w:p>
    <w:p w:rsidR="005D57AD" w:rsidRPr="005D57AD" w:rsidRDefault="005D57AD" w:rsidP="005D57AD">
      <w:pPr>
        <w:spacing w:after="0" w:line="240" w:lineRule="auto"/>
        <w:ind w:left="180"/>
        <w:jc w:val="both"/>
        <w:rPr>
          <w:rFonts w:ascii="Arial" w:eastAsia="Times New Roman" w:hAnsi="Arial" w:cs="Arial"/>
          <w:color w:val="000000"/>
          <w:sz w:val="18"/>
          <w:szCs w:val="18"/>
          <w:lang w:eastAsia="es-CO"/>
        </w:rPr>
      </w:pPr>
      <w:r w:rsidRPr="005D57AD">
        <w:rPr>
          <w:rFonts w:ascii="Segoe UI" w:eastAsia="Times New Roman" w:hAnsi="Segoe UI" w:cs="Segoe UI"/>
          <w:b/>
          <w:bCs/>
          <w:i/>
          <w:iCs/>
          <w:color w:val="000000"/>
          <w:sz w:val="18"/>
          <w:szCs w:val="18"/>
          <w:lang w:eastAsia="es-CO"/>
        </w:rPr>
        <w:t>PARÁGRAFO 3o.</w:t>
      </w:r>
      <w:r w:rsidRPr="005D57AD">
        <w:rPr>
          <w:rFonts w:ascii="Segoe UI" w:eastAsia="Times New Roman" w:hAnsi="Segoe UI" w:cs="Segoe UI"/>
          <w:i/>
          <w:iCs/>
          <w:color w:val="000000"/>
          <w:sz w:val="18"/>
          <w:szCs w:val="18"/>
          <w:lang w:eastAsia="es-CO"/>
        </w:rPr>
        <w:t> &lt;Parágrafo adicionado por el artículo 63 de la Ley 1537 de 2012. El nuevo texto es el siguiente:&gt; </w:t>
      </w:r>
      <w:r w:rsidRPr="005D57AD">
        <w:rPr>
          <w:rFonts w:ascii="Segoe UI" w:eastAsia="Times New Roman" w:hAnsi="Segoe UI" w:cs="Segoe UI"/>
          <w:b/>
          <w:bCs/>
          <w:i/>
          <w:iCs/>
          <w:color w:val="000000"/>
          <w:sz w:val="18"/>
          <w:szCs w:val="18"/>
          <w:lang w:eastAsia="es-CO"/>
        </w:rPr>
        <w:t>Los ingresos obtenidos por la venta de inmuebles por medio del procedimiento de enajenación voluntaria descritos en el presente artículo no constituyen renta ni ganancia ocasional.</w:t>
      </w:r>
    </w:p>
    <w:p w:rsidR="005D57AD" w:rsidRPr="005D57AD" w:rsidRDefault="005D57AD" w:rsidP="005D57AD">
      <w:pPr>
        <w:spacing w:after="0" w:line="240" w:lineRule="auto"/>
        <w:jc w:val="both"/>
        <w:rPr>
          <w:rFonts w:ascii="Arial" w:eastAsia="Times New Roman" w:hAnsi="Arial" w:cs="Arial"/>
          <w:color w:val="000000"/>
          <w:sz w:val="18"/>
          <w:szCs w:val="18"/>
          <w:lang w:eastAsia="es-CO"/>
        </w:rPr>
      </w:pPr>
      <w:r w:rsidRPr="005D57AD">
        <w:rPr>
          <w:rFonts w:ascii="Segoe UI" w:eastAsia="Times New Roman" w:hAnsi="Segoe UI" w:cs="Segoe UI"/>
          <w:color w:val="000000"/>
          <w:sz w:val="18"/>
          <w:szCs w:val="18"/>
          <w:lang w:eastAsia="es-CO"/>
        </w:rPr>
        <w:t> </w:t>
      </w:r>
    </w:p>
    <w:p w:rsidR="005D57AD" w:rsidRPr="005D57AD" w:rsidRDefault="005D57AD" w:rsidP="005D57AD">
      <w:pPr>
        <w:spacing w:after="0" w:line="240" w:lineRule="auto"/>
        <w:jc w:val="both"/>
        <w:rPr>
          <w:rFonts w:ascii="Arial" w:eastAsia="Times New Roman" w:hAnsi="Arial" w:cs="Arial"/>
          <w:color w:val="000000"/>
          <w:sz w:val="18"/>
          <w:szCs w:val="18"/>
          <w:lang w:eastAsia="es-CO"/>
        </w:rPr>
      </w:pPr>
      <w:r w:rsidRPr="005D57AD">
        <w:rPr>
          <w:rFonts w:ascii="Segoe UI" w:eastAsia="Times New Roman" w:hAnsi="Segoe UI" w:cs="Segoe UI"/>
          <w:color w:val="000000"/>
          <w:sz w:val="18"/>
          <w:szCs w:val="18"/>
          <w:lang w:eastAsia="es-CO"/>
        </w:rPr>
        <w:t xml:space="preserve">Respecto del beneficio tributario, la Corte Constitucional, en la Sentencia C-1074 de 2002, al declarar su </w:t>
      </w:r>
      <w:proofErr w:type="spellStart"/>
      <w:r w:rsidRPr="005D57AD">
        <w:rPr>
          <w:rFonts w:ascii="Segoe UI" w:eastAsia="Times New Roman" w:hAnsi="Segoe UI" w:cs="Segoe UI"/>
          <w:color w:val="000000"/>
          <w:sz w:val="18"/>
          <w:szCs w:val="18"/>
          <w:lang w:eastAsia="es-CO"/>
        </w:rPr>
        <w:t>exequibilidad</w:t>
      </w:r>
      <w:proofErr w:type="spellEnd"/>
      <w:r w:rsidRPr="005D57AD">
        <w:rPr>
          <w:rFonts w:ascii="Segoe UI" w:eastAsia="Times New Roman" w:hAnsi="Segoe UI" w:cs="Segoe UI"/>
          <w:color w:val="000000"/>
          <w:sz w:val="18"/>
          <w:szCs w:val="18"/>
          <w:lang w:eastAsia="es-CO"/>
        </w:rPr>
        <w:t xml:space="preserve"> de la Ley 9 de 1989 con la Constitución Política, analizó lo siguiente:</w:t>
      </w:r>
    </w:p>
    <w:p w:rsidR="005D57AD" w:rsidRPr="005D57AD" w:rsidRDefault="005D57AD" w:rsidP="005D57AD">
      <w:pPr>
        <w:spacing w:after="0" w:line="240" w:lineRule="auto"/>
        <w:ind w:left="180"/>
        <w:jc w:val="both"/>
        <w:rPr>
          <w:rFonts w:ascii="Arial" w:eastAsia="Times New Roman" w:hAnsi="Arial" w:cs="Arial"/>
          <w:color w:val="000000"/>
          <w:sz w:val="18"/>
          <w:szCs w:val="18"/>
          <w:lang w:eastAsia="es-CO"/>
        </w:rPr>
      </w:pPr>
      <w:r w:rsidRPr="005D57AD">
        <w:rPr>
          <w:rFonts w:ascii="Segoe UI" w:eastAsia="Times New Roman" w:hAnsi="Segoe UI" w:cs="Segoe UI"/>
          <w:i/>
          <w:iCs/>
          <w:color w:val="000000"/>
          <w:sz w:val="18"/>
          <w:szCs w:val="18"/>
          <w:lang w:eastAsia="es-CO"/>
        </w:rPr>
        <w:t> </w:t>
      </w:r>
    </w:p>
    <w:p w:rsidR="005D57AD" w:rsidRPr="005D57AD" w:rsidRDefault="005D57AD" w:rsidP="005D57AD">
      <w:pPr>
        <w:spacing w:after="0" w:line="240" w:lineRule="auto"/>
        <w:ind w:left="180"/>
        <w:jc w:val="both"/>
        <w:rPr>
          <w:rFonts w:ascii="Arial" w:eastAsia="Times New Roman" w:hAnsi="Arial" w:cs="Arial"/>
          <w:color w:val="000000"/>
          <w:sz w:val="18"/>
          <w:szCs w:val="18"/>
          <w:lang w:eastAsia="es-CO"/>
        </w:rPr>
      </w:pPr>
      <w:r w:rsidRPr="005D57AD">
        <w:rPr>
          <w:rFonts w:ascii="Segoe UI" w:eastAsia="Times New Roman" w:hAnsi="Segoe UI" w:cs="Segoe UI"/>
          <w:i/>
          <w:iCs/>
          <w:color w:val="000000"/>
          <w:sz w:val="18"/>
          <w:szCs w:val="18"/>
          <w:lang w:eastAsia="es-CO"/>
        </w:rPr>
        <w:t>“Esta Corte ha establecido que la expropiación puede ser definida “como una operación de derecho público por la cual el Estado obliga a un particular a cumplir la tradición del dominio privado al dominio público de un bien, en beneficio de la comunidad y mediante una indemnización previa.”</w:t>
      </w:r>
    </w:p>
    <w:p w:rsidR="005D57AD" w:rsidRPr="005D57AD" w:rsidRDefault="005D57AD" w:rsidP="005D57AD">
      <w:pPr>
        <w:spacing w:after="0" w:line="240" w:lineRule="auto"/>
        <w:ind w:left="180"/>
        <w:jc w:val="both"/>
        <w:rPr>
          <w:rFonts w:ascii="Arial" w:eastAsia="Times New Roman" w:hAnsi="Arial" w:cs="Arial"/>
          <w:color w:val="000000"/>
          <w:sz w:val="18"/>
          <w:szCs w:val="18"/>
          <w:lang w:eastAsia="es-CO"/>
        </w:rPr>
      </w:pPr>
      <w:r w:rsidRPr="005D57AD">
        <w:rPr>
          <w:rFonts w:ascii="Segoe UI" w:eastAsia="Times New Roman" w:hAnsi="Segoe UI" w:cs="Segoe UI"/>
          <w:i/>
          <w:iCs/>
          <w:color w:val="000000"/>
          <w:sz w:val="18"/>
          <w:szCs w:val="18"/>
          <w:lang w:eastAsia="es-CO"/>
        </w:rPr>
        <w:t> </w:t>
      </w:r>
    </w:p>
    <w:p w:rsidR="005D57AD" w:rsidRPr="005D57AD" w:rsidRDefault="005D57AD" w:rsidP="005D57AD">
      <w:pPr>
        <w:spacing w:after="0" w:line="240" w:lineRule="auto"/>
        <w:ind w:left="180"/>
        <w:jc w:val="both"/>
        <w:rPr>
          <w:rFonts w:ascii="Arial" w:eastAsia="Times New Roman" w:hAnsi="Arial" w:cs="Arial"/>
          <w:color w:val="000000"/>
          <w:sz w:val="18"/>
          <w:szCs w:val="18"/>
          <w:lang w:eastAsia="es-CO"/>
        </w:rPr>
      </w:pPr>
      <w:r w:rsidRPr="005D57AD">
        <w:rPr>
          <w:rFonts w:ascii="Segoe UI" w:eastAsia="Times New Roman" w:hAnsi="Segoe UI" w:cs="Segoe UI"/>
          <w:i/>
          <w:iCs/>
          <w:color w:val="000000"/>
          <w:sz w:val="18"/>
          <w:szCs w:val="18"/>
          <w:lang w:eastAsia="es-CO"/>
        </w:rPr>
        <w:t>“La indemnización no se limita al precio del bien expropiado. Si bien la jurisprudencia reconoce que el particular también sufre daños adicionales a la pérdida patrimonial del inmueble, el cálculo del resarcimiento que deba recibir el particular, no se limita a considerar el valor comercial del bien, sino que puede abarcar los daños y perjuicios sufridos por el afectado por el hecho de la expropiación.”</w:t>
      </w:r>
    </w:p>
    <w:p w:rsidR="005D57AD" w:rsidRPr="005D57AD" w:rsidRDefault="005D57AD" w:rsidP="005D57AD">
      <w:pPr>
        <w:spacing w:after="0" w:line="240" w:lineRule="auto"/>
        <w:ind w:left="180"/>
        <w:jc w:val="both"/>
        <w:rPr>
          <w:rFonts w:ascii="Arial" w:eastAsia="Times New Roman" w:hAnsi="Arial" w:cs="Arial"/>
          <w:color w:val="000000"/>
          <w:sz w:val="18"/>
          <w:szCs w:val="18"/>
          <w:lang w:eastAsia="es-CO"/>
        </w:rPr>
      </w:pPr>
      <w:r w:rsidRPr="005D57AD">
        <w:rPr>
          <w:rFonts w:ascii="Segoe UI" w:eastAsia="Times New Roman" w:hAnsi="Segoe UI" w:cs="Segoe UI"/>
          <w:i/>
          <w:iCs/>
          <w:color w:val="000000"/>
          <w:sz w:val="18"/>
          <w:szCs w:val="18"/>
          <w:lang w:eastAsia="es-CO"/>
        </w:rPr>
        <w:t> </w:t>
      </w:r>
    </w:p>
    <w:p w:rsidR="005D57AD" w:rsidRPr="005D57AD" w:rsidRDefault="005D57AD" w:rsidP="005D57AD">
      <w:pPr>
        <w:spacing w:after="0" w:line="240" w:lineRule="auto"/>
        <w:ind w:left="180"/>
        <w:jc w:val="both"/>
        <w:rPr>
          <w:rFonts w:ascii="Arial" w:eastAsia="Times New Roman" w:hAnsi="Arial" w:cs="Arial"/>
          <w:color w:val="000000"/>
          <w:sz w:val="18"/>
          <w:szCs w:val="18"/>
          <w:lang w:eastAsia="es-CO"/>
        </w:rPr>
      </w:pPr>
      <w:r w:rsidRPr="005D57AD">
        <w:rPr>
          <w:rFonts w:ascii="Segoe UI" w:eastAsia="Times New Roman" w:hAnsi="Segoe UI" w:cs="Segoe UI"/>
          <w:i/>
          <w:iCs/>
          <w:color w:val="000000"/>
          <w:sz w:val="18"/>
          <w:szCs w:val="18"/>
          <w:lang w:eastAsia="es-CO"/>
        </w:rPr>
        <w:t>“En el presente caso, se constata que un beneficio tributario consiste en no gravar las ganancias ocasionales resultantes del negocio jurídico lleva a que el particular que puede enajenar el bien incluya dicho estímulo económico en las variables a tener en cuenta al momento de escoger entre perfeccionar un acuerdo de voluntades con la administración o someterse a los procedimientos de la expropiación forzosa. La posibilidad de incurrir en un gasto menor es un elemento de valoración importante que tiene la virtud de incentivarlo a escoger el camino de la negociación. Esto conduce a que exista una mayor probabilidad de que el bien sea traspasado al Estado con más rapidez, y, por consiguiente, que se cumplan oportuna y eficazmente los fines de utilidad pública e interés social establecidos. Adicionalmente, una mayor tendencia por parte de los propietarios de bienes expropiables a optar por la enajenación voluntaria o la negociación directa, revierte en una menor cantidad de procesos judiciales, lo cual reduce las cargas de los despachos judiciales civiles y contencioso administrativos”.</w:t>
      </w:r>
    </w:p>
    <w:p w:rsidR="005D57AD" w:rsidRPr="005D57AD" w:rsidRDefault="005D57AD" w:rsidP="005D57AD">
      <w:pPr>
        <w:spacing w:after="0" w:line="240" w:lineRule="auto"/>
        <w:jc w:val="both"/>
        <w:rPr>
          <w:rFonts w:ascii="Arial" w:eastAsia="Times New Roman" w:hAnsi="Arial" w:cs="Arial"/>
          <w:color w:val="000000"/>
          <w:sz w:val="18"/>
          <w:szCs w:val="18"/>
          <w:lang w:eastAsia="es-CO"/>
        </w:rPr>
      </w:pPr>
      <w:r w:rsidRPr="005D57AD">
        <w:rPr>
          <w:rFonts w:ascii="Segoe UI" w:eastAsia="Times New Roman" w:hAnsi="Segoe UI" w:cs="Segoe UI"/>
          <w:color w:val="000000"/>
          <w:sz w:val="18"/>
          <w:szCs w:val="18"/>
          <w:lang w:eastAsia="es-CO"/>
        </w:rPr>
        <w:t> </w:t>
      </w:r>
    </w:p>
    <w:p w:rsidR="005D57AD" w:rsidRPr="005D57AD" w:rsidRDefault="005D57AD" w:rsidP="005D57AD">
      <w:pPr>
        <w:spacing w:after="0" w:line="240" w:lineRule="auto"/>
        <w:jc w:val="both"/>
        <w:rPr>
          <w:rFonts w:ascii="Arial" w:eastAsia="Times New Roman" w:hAnsi="Arial" w:cs="Arial"/>
          <w:color w:val="000000"/>
          <w:sz w:val="18"/>
          <w:szCs w:val="18"/>
          <w:lang w:eastAsia="es-CO"/>
        </w:rPr>
      </w:pPr>
      <w:r w:rsidRPr="005D57AD">
        <w:rPr>
          <w:rFonts w:ascii="Segoe UI" w:eastAsia="Times New Roman" w:hAnsi="Segoe UI" w:cs="Segoe UI"/>
          <w:color w:val="000000"/>
          <w:sz w:val="18"/>
          <w:szCs w:val="18"/>
          <w:lang w:eastAsia="es-CO"/>
        </w:rPr>
        <w:t>En síntesis, los ingresos obtenidos por la venta de inmuebles por medio del procedimiento de </w:t>
      </w:r>
      <w:r w:rsidRPr="005D57AD">
        <w:rPr>
          <w:rFonts w:ascii="Segoe UI" w:eastAsia="Times New Roman" w:hAnsi="Segoe UI" w:cs="Segoe UI"/>
          <w:color w:val="000000"/>
          <w:sz w:val="18"/>
          <w:szCs w:val="18"/>
          <w:u w:val="single"/>
          <w:lang w:eastAsia="es-CO"/>
        </w:rPr>
        <w:t>enajenación voluntaria</w:t>
      </w:r>
      <w:r w:rsidRPr="005D57AD">
        <w:rPr>
          <w:rFonts w:ascii="Segoe UI" w:eastAsia="Times New Roman" w:hAnsi="Segoe UI" w:cs="Segoe UI"/>
          <w:color w:val="000000"/>
          <w:sz w:val="18"/>
          <w:szCs w:val="18"/>
          <w:lang w:eastAsia="es-CO"/>
        </w:rPr>
        <w:t>, descrito y adelantado conforme con las Leyes 9 de 1989 y 383 de 1997, no constituyen renta ni ganancia ocasional, como claramente lo ha establecido el legislador. Esto significa que mientras el pago no haya sido excluido por mandato legal, siempre estará sometido a retención en la fuente, por los conceptos establecidos de manera especial en los artículos </w:t>
      </w:r>
      <w:hyperlink r:id="rId6" w:tooltip="Estatuto Tributario CETA" w:history="1">
        <w:r w:rsidRPr="005D57AD">
          <w:rPr>
            <w:rFonts w:ascii="Segoe UI" w:eastAsia="Times New Roman" w:hAnsi="Segoe UI" w:cs="Segoe UI"/>
            <w:color w:val="0089E1"/>
            <w:sz w:val="18"/>
            <w:szCs w:val="18"/>
            <w:u w:val="single"/>
            <w:lang w:eastAsia="es-CO"/>
          </w:rPr>
          <w:t>398</w:t>
        </w:r>
      </w:hyperlink>
      <w:r w:rsidRPr="005D57AD">
        <w:rPr>
          <w:rFonts w:ascii="Segoe UI" w:eastAsia="Times New Roman" w:hAnsi="Segoe UI" w:cs="Segoe UI"/>
          <w:color w:val="000000"/>
          <w:sz w:val="18"/>
          <w:szCs w:val="18"/>
          <w:lang w:eastAsia="es-CO"/>
        </w:rPr>
        <w:t> y parágrafo del artículo </w:t>
      </w:r>
      <w:hyperlink r:id="rId7" w:tooltip="Estatuto Tributario CETA" w:history="1">
        <w:r w:rsidRPr="005D57AD">
          <w:rPr>
            <w:rFonts w:ascii="Segoe UI" w:eastAsia="Times New Roman" w:hAnsi="Segoe UI" w:cs="Segoe UI"/>
            <w:color w:val="0089E1"/>
            <w:sz w:val="18"/>
            <w:szCs w:val="18"/>
            <w:u w:val="single"/>
            <w:lang w:eastAsia="es-CO"/>
          </w:rPr>
          <w:t>401</w:t>
        </w:r>
      </w:hyperlink>
      <w:r w:rsidRPr="005D57AD">
        <w:rPr>
          <w:rFonts w:ascii="Segoe UI" w:eastAsia="Times New Roman" w:hAnsi="Segoe UI" w:cs="Segoe UI"/>
          <w:color w:val="000000"/>
          <w:sz w:val="18"/>
          <w:szCs w:val="18"/>
          <w:lang w:eastAsia="es-CO"/>
        </w:rPr>
        <w:t> del Estatuto Tributario.</w:t>
      </w:r>
    </w:p>
    <w:p w:rsidR="005D57AD" w:rsidRPr="005D57AD" w:rsidRDefault="005D57AD" w:rsidP="005D57AD">
      <w:pPr>
        <w:spacing w:after="0" w:line="240" w:lineRule="auto"/>
        <w:jc w:val="both"/>
        <w:rPr>
          <w:rFonts w:ascii="Arial" w:eastAsia="Times New Roman" w:hAnsi="Arial" w:cs="Arial"/>
          <w:color w:val="000000"/>
          <w:sz w:val="18"/>
          <w:szCs w:val="18"/>
          <w:lang w:eastAsia="es-CO"/>
        </w:rPr>
      </w:pPr>
      <w:r w:rsidRPr="005D57AD">
        <w:rPr>
          <w:rFonts w:ascii="Segoe UI" w:eastAsia="Times New Roman" w:hAnsi="Segoe UI" w:cs="Segoe UI"/>
          <w:color w:val="000000"/>
          <w:sz w:val="18"/>
          <w:szCs w:val="18"/>
          <w:lang w:eastAsia="es-CO"/>
        </w:rPr>
        <w:t> </w:t>
      </w:r>
    </w:p>
    <w:p w:rsidR="005D57AD" w:rsidRPr="005D57AD" w:rsidRDefault="005D57AD" w:rsidP="005D57AD">
      <w:pPr>
        <w:spacing w:after="0" w:line="240" w:lineRule="auto"/>
        <w:jc w:val="both"/>
        <w:rPr>
          <w:rFonts w:ascii="Arial" w:eastAsia="Times New Roman" w:hAnsi="Arial" w:cs="Arial"/>
          <w:color w:val="000000"/>
          <w:sz w:val="18"/>
          <w:szCs w:val="18"/>
          <w:lang w:eastAsia="es-CO"/>
        </w:rPr>
      </w:pPr>
      <w:r w:rsidRPr="005D57AD">
        <w:rPr>
          <w:rFonts w:ascii="Segoe UI" w:eastAsia="Times New Roman" w:hAnsi="Segoe UI" w:cs="Segoe UI"/>
          <w:color w:val="000000"/>
          <w:sz w:val="18"/>
          <w:szCs w:val="18"/>
          <w:lang w:eastAsia="es-CO"/>
        </w:rPr>
        <w:t> </w:t>
      </w:r>
    </w:p>
    <w:p w:rsidR="005D57AD" w:rsidRPr="005D57AD" w:rsidRDefault="005D57AD" w:rsidP="005D57AD">
      <w:pPr>
        <w:spacing w:after="0" w:line="240" w:lineRule="auto"/>
        <w:jc w:val="both"/>
        <w:rPr>
          <w:rFonts w:ascii="Arial" w:eastAsia="Times New Roman" w:hAnsi="Arial" w:cs="Arial"/>
          <w:color w:val="000000"/>
          <w:sz w:val="18"/>
          <w:szCs w:val="18"/>
          <w:lang w:eastAsia="es-CO"/>
        </w:rPr>
      </w:pPr>
      <w:r w:rsidRPr="005D57AD">
        <w:rPr>
          <w:rFonts w:ascii="Segoe UI" w:eastAsia="Times New Roman" w:hAnsi="Segoe UI" w:cs="Segoe UI"/>
          <w:color w:val="000000"/>
          <w:sz w:val="18"/>
          <w:szCs w:val="18"/>
          <w:lang w:eastAsia="es-CO"/>
        </w:rPr>
        <w:t>Atentamente,</w:t>
      </w:r>
    </w:p>
    <w:p w:rsidR="005D57AD" w:rsidRPr="005D57AD" w:rsidRDefault="005D57AD" w:rsidP="005D57AD">
      <w:pPr>
        <w:spacing w:after="0" w:line="240" w:lineRule="auto"/>
        <w:jc w:val="both"/>
        <w:rPr>
          <w:rFonts w:ascii="Arial" w:eastAsia="Times New Roman" w:hAnsi="Arial" w:cs="Arial"/>
          <w:color w:val="000000"/>
          <w:sz w:val="18"/>
          <w:szCs w:val="18"/>
          <w:lang w:eastAsia="es-CO"/>
        </w:rPr>
      </w:pPr>
      <w:r w:rsidRPr="005D57AD">
        <w:rPr>
          <w:rFonts w:ascii="Segoe UI" w:eastAsia="Times New Roman" w:hAnsi="Segoe UI" w:cs="Segoe UI"/>
          <w:color w:val="000000"/>
          <w:sz w:val="18"/>
          <w:szCs w:val="18"/>
          <w:lang w:eastAsia="es-CO"/>
        </w:rPr>
        <w:t> </w:t>
      </w:r>
    </w:p>
    <w:p w:rsidR="005D57AD" w:rsidRPr="005D57AD" w:rsidRDefault="005D57AD" w:rsidP="005D57AD">
      <w:pPr>
        <w:spacing w:after="0" w:line="240" w:lineRule="auto"/>
        <w:jc w:val="both"/>
        <w:rPr>
          <w:rFonts w:ascii="Arial" w:eastAsia="Times New Roman" w:hAnsi="Arial" w:cs="Arial"/>
          <w:color w:val="000000"/>
          <w:sz w:val="18"/>
          <w:szCs w:val="18"/>
          <w:lang w:eastAsia="es-CO"/>
        </w:rPr>
      </w:pPr>
      <w:r w:rsidRPr="005D57AD">
        <w:rPr>
          <w:rFonts w:ascii="Segoe UI" w:eastAsia="Times New Roman" w:hAnsi="Segoe UI" w:cs="Segoe UI"/>
          <w:color w:val="000000"/>
          <w:sz w:val="18"/>
          <w:szCs w:val="18"/>
          <w:lang w:eastAsia="es-CO"/>
        </w:rPr>
        <w:t> </w:t>
      </w:r>
    </w:p>
    <w:p w:rsidR="005D57AD" w:rsidRPr="005D57AD" w:rsidRDefault="005D57AD" w:rsidP="005D57AD">
      <w:pPr>
        <w:spacing w:after="0" w:line="240" w:lineRule="auto"/>
        <w:jc w:val="both"/>
        <w:rPr>
          <w:rFonts w:ascii="Arial" w:eastAsia="Times New Roman" w:hAnsi="Arial" w:cs="Arial"/>
          <w:color w:val="000000"/>
          <w:sz w:val="18"/>
          <w:szCs w:val="18"/>
          <w:lang w:eastAsia="es-CO"/>
        </w:rPr>
      </w:pPr>
      <w:r w:rsidRPr="005D57AD">
        <w:rPr>
          <w:rFonts w:ascii="Segoe UI" w:eastAsia="Times New Roman" w:hAnsi="Segoe UI" w:cs="Segoe UI"/>
          <w:b/>
          <w:bCs/>
          <w:color w:val="000000"/>
          <w:sz w:val="18"/>
          <w:szCs w:val="18"/>
          <w:lang w:eastAsia="es-CO"/>
        </w:rPr>
        <w:t>LORENZO CASTILLO BARVO</w:t>
      </w:r>
    </w:p>
    <w:p w:rsidR="005D57AD" w:rsidRPr="005D57AD" w:rsidRDefault="005D57AD" w:rsidP="005D57AD">
      <w:pPr>
        <w:spacing w:after="0" w:line="240" w:lineRule="auto"/>
        <w:jc w:val="both"/>
        <w:rPr>
          <w:rFonts w:ascii="Arial" w:eastAsia="Times New Roman" w:hAnsi="Arial" w:cs="Arial"/>
          <w:color w:val="000000"/>
          <w:sz w:val="18"/>
          <w:szCs w:val="18"/>
          <w:lang w:eastAsia="es-CO"/>
        </w:rPr>
      </w:pPr>
      <w:r w:rsidRPr="005D57AD">
        <w:rPr>
          <w:rFonts w:ascii="Segoe UI" w:eastAsia="Times New Roman" w:hAnsi="Segoe UI" w:cs="Segoe UI"/>
          <w:color w:val="000000"/>
          <w:sz w:val="18"/>
          <w:szCs w:val="18"/>
          <w:lang w:eastAsia="es-CO"/>
        </w:rPr>
        <w:t>Subdirector de Gestión Normativa y Doctrina (E)</w:t>
      </w:r>
    </w:p>
    <w:p w:rsidR="005D57AD" w:rsidRPr="005D57AD" w:rsidRDefault="005D57AD" w:rsidP="005D57AD">
      <w:pPr>
        <w:spacing w:after="0" w:line="240" w:lineRule="auto"/>
        <w:jc w:val="both"/>
        <w:rPr>
          <w:rFonts w:ascii="Arial" w:eastAsia="Times New Roman" w:hAnsi="Arial" w:cs="Arial"/>
          <w:color w:val="000000"/>
          <w:sz w:val="18"/>
          <w:szCs w:val="18"/>
          <w:lang w:eastAsia="es-CO"/>
        </w:rPr>
      </w:pPr>
      <w:r w:rsidRPr="005D57AD">
        <w:rPr>
          <w:rFonts w:ascii="Segoe UI" w:eastAsia="Times New Roman" w:hAnsi="Segoe UI" w:cs="Segoe UI"/>
          <w:color w:val="000000"/>
          <w:sz w:val="18"/>
          <w:szCs w:val="18"/>
          <w:lang w:eastAsia="es-CO"/>
        </w:rPr>
        <w:t>Dirección Gestión Jurídica</w:t>
      </w:r>
    </w:p>
    <w:p w:rsidR="005D57AD" w:rsidRPr="005D57AD" w:rsidRDefault="005D57AD" w:rsidP="005D57AD">
      <w:pPr>
        <w:spacing w:after="0" w:line="240" w:lineRule="auto"/>
        <w:jc w:val="both"/>
        <w:rPr>
          <w:rFonts w:ascii="Arial" w:eastAsia="Times New Roman" w:hAnsi="Arial" w:cs="Arial"/>
          <w:color w:val="000000"/>
          <w:sz w:val="18"/>
          <w:szCs w:val="18"/>
          <w:lang w:eastAsia="es-CO"/>
        </w:rPr>
      </w:pPr>
      <w:r w:rsidRPr="005D57AD">
        <w:rPr>
          <w:rFonts w:ascii="Segoe UI" w:eastAsia="Times New Roman" w:hAnsi="Segoe UI" w:cs="Segoe UI"/>
          <w:color w:val="000000"/>
          <w:sz w:val="18"/>
          <w:szCs w:val="18"/>
          <w:lang w:eastAsia="es-CO"/>
        </w:rPr>
        <w:t>UAE Dirección de Impuestos y Aduanas Nacionales</w:t>
      </w:r>
    </w:p>
    <w:p w:rsidR="005D57AD" w:rsidRPr="005D57AD" w:rsidRDefault="005D57AD" w:rsidP="005D57AD">
      <w:pPr>
        <w:spacing w:after="285" w:line="240" w:lineRule="auto"/>
        <w:jc w:val="both"/>
        <w:rPr>
          <w:rFonts w:ascii="Arial" w:eastAsia="Times New Roman" w:hAnsi="Arial" w:cs="Arial"/>
          <w:color w:val="000000"/>
          <w:sz w:val="18"/>
          <w:szCs w:val="18"/>
          <w:lang w:eastAsia="es-CO"/>
        </w:rPr>
      </w:pPr>
      <w:r w:rsidRPr="005D57AD">
        <w:rPr>
          <w:rFonts w:ascii="Arial" w:eastAsia="Times New Roman" w:hAnsi="Arial" w:cs="Arial"/>
          <w:color w:val="000000"/>
          <w:sz w:val="18"/>
          <w:szCs w:val="18"/>
          <w:lang w:eastAsia="es-CO"/>
        </w:rPr>
        <w:t> </w:t>
      </w:r>
    </w:p>
    <w:p w:rsidR="00730617" w:rsidRDefault="00730617"/>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AD"/>
    <w:rsid w:val="005D57AD"/>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BD3C6"/>
  <w15:chartTrackingRefBased/>
  <w15:docId w15:val="{76A45F0B-21F2-4254-9FEC-E09C845A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4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493" TargetMode="External"/><Relationship Id="rId5" Type="http://schemas.openxmlformats.org/officeDocument/2006/relationships/hyperlink" Target="https://www.ceta.org.co/html/vista_de_un_articulo.asp?Norma=496" TargetMode="External"/><Relationship Id="rId4" Type="http://schemas.openxmlformats.org/officeDocument/2006/relationships/hyperlink" Target="https://www.ceta.org.co/html/vista_de_un_articulo.asp?Norma=493"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2176</Words>
  <Characters>11970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2019-05-23T23:19:00Z</dcterms:created>
  <dcterms:modified xsi:type="dcterms:W3CDTF">2019-05-23T23:20:00Z</dcterms:modified>
</cp:coreProperties>
</file>